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F6E9" w14:textId="2B4281D7" w:rsidR="00894CE7" w:rsidRDefault="00995DE3" w:rsidP="002133AB">
      <w:pPr>
        <w:tabs>
          <w:tab w:val="left" w:pos="747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Homework #</w:t>
      </w:r>
      <w:r w:rsidR="0040055E">
        <w:rPr>
          <w:b/>
          <w:sz w:val="28"/>
          <w:szCs w:val="28"/>
        </w:rPr>
        <w:t>6</w:t>
      </w:r>
    </w:p>
    <w:p w14:paraId="2D7DF6EA" w14:textId="77576F9E" w:rsidR="00995DE3" w:rsidRPr="005B26E3" w:rsidRDefault="00995DE3" w:rsidP="00A0102A">
      <w:pPr>
        <w:spacing w:line="240" w:lineRule="auto"/>
        <w:jc w:val="center"/>
      </w:pPr>
      <w:r w:rsidRPr="005B26E3">
        <w:t xml:space="preserve">Due:  </w:t>
      </w:r>
      <w:r w:rsidR="00FE4B9C">
        <w:t>15</w:t>
      </w:r>
      <w:r w:rsidR="0040055E">
        <w:t xml:space="preserve"> April </w:t>
      </w:r>
      <w:r w:rsidRPr="005B26E3">
        <w:t>20</w:t>
      </w:r>
      <w:r w:rsidR="005D1B4C" w:rsidRPr="005B26E3">
        <w:t>24</w:t>
      </w:r>
    </w:p>
    <w:p w14:paraId="2D7DF6F3" w14:textId="77777777" w:rsidR="00EF4FFF" w:rsidRDefault="00EF4FFF" w:rsidP="00A0102A">
      <w:pPr>
        <w:spacing w:before="120" w:after="0" w:line="240" w:lineRule="auto"/>
        <w:rPr>
          <w:lang w:val="en-PH"/>
        </w:rPr>
      </w:pPr>
    </w:p>
    <w:p w14:paraId="32D527D3" w14:textId="77777777" w:rsidR="00C04940" w:rsidRDefault="00C04940" w:rsidP="00C04940">
      <w:pPr>
        <w:spacing w:after="0" w:line="240" w:lineRule="auto"/>
        <w:jc w:val="both"/>
        <w:rPr>
          <w:b/>
          <w:lang w:val="en-PH"/>
        </w:rPr>
      </w:pPr>
    </w:p>
    <w:p w14:paraId="366586F2" w14:textId="1BA29983" w:rsidR="00C04940" w:rsidRDefault="00E153F9" w:rsidP="00CF19CF">
      <w:pPr>
        <w:pStyle w:val="ListParagraph"/>
        <w:numPr>
          <w:ilvl w:val="0"/>
          <w:numId w:val="11"/>
        </w:numPr>
        <w:spacing w:after="0" w:line="240" w:lineRule="auto"/>
        <w:ind w:left="270" w:hanging="270"/>
        <w:jc w:val="both"/>
        <w:rPr>
          <w:b/>
          <w:lang w:val="en-PH"/>
        </w:rPr>
      </w:pPr>
      <w:r>
        <w:rPr>
          <w:b/>
          <w:lang w:val="en-PH"/>
        </w:rPr>
        <w:t>Subduing inflation</w:t>
      </w:r>
      <w:r w:rsidR="000738AE">
        <w:rPr>
          <w:b/>
          <w:lang w:val="en-PH"/>
        </w:rPr>
        <w:t>.</w:t>
      </w:r>
    </w:p>
    <w:p w14:paraId="770A2E44" w14:textId="484D2D34" w:rsidR="00736455" w:rsidRDefault="00837239" w:rsidP="00914C4D">
      <w:pPr>
        <w:pStyle w:val="ListParagraph"/>
        <w:spacing w:before="120" w:after="0" w:line="240" w:lineRule="auto"/>
        <w:ind w:left="274" w:hanging="274"/>
        <w:contextualSpacing w:val="0"/>
        <w:rPr>
          <w:lang w:val="en-PH"/>
        </w:rPr>
      </w:pPr>
      <w:bookmarkStart w:id="0" w:name="_Hlk160711128"/>
      <w:r>
        <w:rPr>
          <w:lang w:val="en-PH"/>
        </w:rPr>
        <w:t xml:space="preserve">To rein in inflation, </w:t>
      </w:r>
      <w:r w:rsidR="002C5A6B">
        <w:rPr>
          <w:lang w:val="en-PH"/>
        </w:rPr>
        <w:t xml:space="preserve">what action </w:t>
      </w:r>
      <w:r w:rsidR="00FA58A2">
        <w:rPr>
          <w:lang w:val="en-PH"/>
        </w:rPr>
        <w:t xml:space="preserve">can </w:t>
      </w:r>
      <w:r w:rsidR="002C5A6B">
        <w:rPr>
          <w:lang w:val="en-PH"/>
        </w:rPr>
        <w:t xml:space="preserve">the central bank take </w:t>
      </w:r>
      <w:r w:rsidR="00583199">
        <w:rPr>
          <w:lang w:val="en-PH"/>
        </w:rPr>
        <w:t xml:space="preserve">using </w:t>
      </w:r>
      <w:r w:rsidR="002C5A6B">
        <w:rPr>
          <w:lang w:val="en-PH"/>
        </w:rPr>
        <w:t>the foll</w:t>
      </w:r>
      <w:r w:rsidR="00FA58A2">
        <w:rPr>
          <w:lang w:val="en-PH"/>
        </w:rPr>
        <w:t>owing policy tools?</w:t>
      </w:r>
    </w:p>
    <w:p w14:paraId="00ED1004" w14:textId="7F48AB96" w:rsidR="00D250D1" w:rsidRDefault="00626A55" w:rsidP="0040055E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bookmarkStart w:id="1" w:name="_Hlk162427105"/>
      <w:bookmarkEnd w:id="0"/>
      <w:r>
        <w:rPr>
          <w:lang w:val="en-PH"/>
        </w:rPr>
        <w:t>government bonds</w:t>
      </w:r>
    </w:p>
    <w:p w14:paraId="65BC1BB0" w14:textId="6561E5B8" w:rsidR="00626A55" w:rsidRDefault="00626A55" w:rsidP="0040055E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foreign assets</w:t>
      </w:r>
    </w:p>
    <w:p w14:paraId="386C75F8" w14:textId="2102259B" w:rsidR="00626A55" w:rsidRDefault="002706B5" w:rsidP="0040055E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reverse repurchase rate</w:t>
      </w:r>
    </w:p>
    <w:p w14:paraId="2D38D6D7" w14:textId="5F56F242" w:rsidR="002B4B51" w:rsidRDefault="002B4B51" w:rsidP="0040055E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reserve requirement ratio</w:t>
      </w:r>
    </w:p>
    <w:p w14:paraId="6C8D4D0B" w14:textId="16D64A43" w:rsidR="002B4B51" w:rsidRDefault="002B4B51" w:rsidP="0040055E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interest rate on reserves</w:t>
      </w:r>
    </w:p>
    <w:bookmarkEnd w:id="1"/>
    <w:p w14:paraId="3DB060D8" w14:textId="77777777" w:rsidR="0040055E" w:rsidRDefault="0040055E" w:rsidP="0040055E">
      <w:pPr>
        <w:spacing w:before="120" w:after="0" w:line="240" w:lineRule="auto"/>
        <w:rPr>
          <w:lang w:val="en-PH"/>
        </w:rPr>
      </w:pPr>
    </w:p>
    <w:p w14:paraId="4C12EB30" w14:textId="70D42C81" w:rsidR="00CC22FC" w:rsidRPr="000402EB" w:rsidRDefault="00224761" w:rsidP="008F67DC">
      <w:pPr>
        <w:pStyle w:val="ListParagraph"/>
        <w:numPr>
          <w:ilvl w:val="0"/>
          <w:numId w:val="11"/>
        </w:numPr>
        <w:spacing w:before="120" w:after="0" w:line="240" w:lineRule="auto"/>
        <w:ind w:left="270" w:hanging="270"/>
        <w:rPr>
          <w:b/>
          <w:bCs/>
          <w:lang w:val="en-PH"/>
        </w:rPr>
      </w:pPr>
      <w:r>
        <w:rPr>
          <w:b/>
          <w:bCs/>
          <w:lang w:val="en-PH"/>
        </w:rPr>
        <w:t xml:space="preserve">Reducing a </w:t>
      </w:r>
      <w:r w:rsidR="00D121F0" w:rsidRPr="000402EB">
        <w:rPr>
          <w:b/>
          <w:bCs/>
          <w:lang w:val="en-PH"/>
        </w:rPr>
        <w:t>current account</w:t>
      </w:r>
      <w:r>
        <w:rPr>
          <w:b/>
          <w:bCs/>
          <w:lang w:val="en-PH"/>
        </w:rPr>
        <w:t xml:space="preserve"> deficit</w:t>
      </w:r>
      <w:r w:rsidR="005978F6" w:rsidRPr="000402EB">
        <w:rPr>
          <w:b/>
          <w:bCs/>
          <w:lang w:val="en-PH"/>
        </w:rPr>
        <w:t>.</w:t>
      </w:r>
    </w:p>
    <w:p w14:paraId="7C6B6DA3" w14:textId="18653A52" w:rsidR="000402EB" w:rsidRDefault="00066597" w:rsidP="00914C4D">
      <w:pPr>
        <w:spacing w:before="120" w:after="0" w:line="240" w:lineRule="auto"/>
        <w:rPr>
          <w:lang w:val="en-PH"/>
        </w:rPr>
      </w:pPr>
      <w:r>
        <w:rPr>
          <w:lang w:val="en-PH"/>
        </w:rPr>
        <w:t xml:space="preserve">To </w:t>
      </w:r>
      <w:r w:rsidR="00224761">
        <w:rPr>
          <w:lang w:val="en-PH"/>
        </w:rPr>
        <w:t xml:space="preserve">reduce a </w:t>
      </w:r>
      <w:r>
        <w:rPr>
          <w:lang w:val="en-PH"/>
        </w:rPr>
        <w:t>current account</w:t>
      </w:r>
      <w:r w:rsidR="00224761">
        <w:rPr>
          <w:lang w:val="en-PH"/>
        </w:rPr>
        <w:t xml:space="preserve"> deficit</w:t>
      </w:r>
      <w:r>
        <w:rPr>
          <w:lang w:val="en-PH"/>
        </w:rPr>
        <w:t xml:space="preserve">, </w:t>
      </w:r>
      <w:r w:rsidR="00324EAB" w:rsidRPr="00324EAB">
        <w:rPr>
          <w:lang w:val="en-PH"/>
        </w:rPr>
        <w:t>what action can the central bank take using the following policy tools?</w:t>
      </w:r>
      <w:r w:rsidR="00324EAB">
        <w:rPr>
          <w:lang w:val="en-PH"/>
        </w:rPr>
        <w:t xml:space="preserve"> </w:t>
      </w:r>
      <w:r w:rsidR="009C259C">
        <w:rPr>
          <w:lang w:val="en-PH"/>
        </w:rPr>
        <w:t xml:space="preserve">(Hint: </w:t>
      </w:r>
      <w:r w:rsidR="00D90269">
        <w:rPr>
          <w:lang w:val="en-PH"/>
        </w:rPr>
        <w:t xml:space="preserve">Consider the effect </w:t>
      </w:r>
      <w:r w:rsidR="00682B68">
        <w:rPr>
          <w:lang w:val="en-PH"/>
        </w:rPr>
        <w:t>of a change in PQ on X and M.)</w:t>
      </w:r>
    </w:p>
    <w:p w14:paraId="0965F004" w14:textId="77777777" w:rsidR="00682B68" w:rsidRDefault="00682B68" w:rsidP="00682B68">
      <w:pPr>
        <w:pStyle w:val="ListParagraph"/>
        <w:numPr>
          <w:ilvl w:val="0"/>
          <w:numId w:val="18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government bonds</w:t>
      </w:r>
    </w:p>
    <w:p w14:paraId="26B5895E" w14:textId="77777777" w:rsidR="00682B68" w:rsidRDefault="00682B68" w:rsidP="00682B68">
      <w:pPr>
        <w:pStyle w:val="ListParagraph"/>
        <w:numPr>
          <w:ilvl w:val="0"/>
          <w:numId w:val="18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foreign assets</w:t>
      </w:r>
    </w:p>
    <w:p w14:paraId="1D63B2AB" w14:textId="4989D942" w:rsidR="00682B68" w:rsidRDefault="002706B5" w:rsidP="00682B68">
      <w:pPr>
        <w:pStyle w:val="ListParagraph"/>
        <w:numPr>
          <w:ilvl w:val="0"/>
          <w:numId w:val="18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reverse repurchase rate</w:t>
      </w:r>
    </w:p>
    <w:p w14:paraId="14CA0398" w14:textId="77777777" w:rsidR="00682B68" w:rsidRDefault="00682B68" w:rsidP="00682B68">
      <w:pPr>
        <w:pStyle w:val="ListParagraph"/>
        <w:numPr>
          <w:ilvl w:val="0"/>
          <w:numId w:val="18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reserve requirement ratio</w:t>
      </w:r>
    </w:p>
    <w:p w14:paraId="096C12DC" w14:textId="1C2A7421" w:rsidR="00682B68" w:rsidRDefault="00682B68" w:rsidP="000402EB">
      <w:pPr>
        <w:pStyle w:val="ListParagraph"/>
        <w:numPr>
          <w:ilvl w:val="0"/>
          <w:numId w:val="18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interest rate on reserves</w:t>
      </w:r>
    </w:p>
    <w:p w14:paraId="14E6D364" w14:textId="77777777" w:rsidR="000107D9" w:rsidRDefault="000107D9" w:rsidP="000107D9">
      <w:pPr>
        <w:pStyle w:val="ListParagraph"/>
        <w:spacing w:before="120" w:after="0" w:line="240" w:lineRule="auto"/>
        <w:ind w:left="270"/>
        <w:contextualSpacing w:val="0"/>
        <w:rPr>
          <w:lang w:val="en-PH"/>
        </w:rPr>
      </w:pPr>
    </w:p>
    <w:p w14:paraId="27A2A400" w14:textId="1D97CBEA" w:rsidR="008F67DC" w:rsidRPr="0056222F" w:rsidRDefault="00BA1370" w:rsidP="008F67DC">
      <w:pPr>
        <w:pStyle w:val="ListParagraph"/>
        <w:numPr>
          <w:ilvl w:val="0"/>
          <w:numId w:val="11"/>
        </w:numPr>
        <w:spacing w:before="120" w:after="0" w:line="240" w:lineRule="auto"/>
        <w:ind w:left="270" w:hanging="270"/>
        <w:contextualSpacing w:val="0"/>
        <w:rPr>
          <w:b/>
          <w:bCs/>
          <w:lang w:val="en-PH"/>
        </w:rPr>
      </w:pPr>
      <w:r w:rsidRPr="0056222F">
        <w:rPr>
          <w:b/>
          <w:bCs/>
          <w:lang w:val="en-PH"/>
        </w:rPr>
        <w:t xml:space="preserve">Singapore </w:t>
      </w:r>
      <w:r w:rsidR="008156AF" w:rsidRPr="0056222F">
        <w:rPr>
          <w:b/>
          <w:bCs/>
          <w:lang w:val="en-PH"/>
        </w:rPr>
        <w:t>monetary policy.</w:t>
      </w:r>
    </w:p>
    <w:p w14:paraId="7A3462F2" w14:textId="77777777" w:rsidR="005E2502" w:rsidRPr="005E2502" w:rsidRDefault="005E2502" w:rsidP="0071687C">
      <w:pPr>
        <w:spacing w:before="120" w:after="0"/>
        <w:contextualSpacing/>
        <w:rPr>
          <w:lang w:val="en-PH"/>
        </w:rPr>
      </w:pPr>
      <w:r w:rsidRPr="005E2502">
        <w:rPr>
          <w:lang w:val="en-PH"/>
        </w:rPr>
        <w:t>How will the Monetary Authority of Singapore be inclined to adjust its exchange rate target in response to the following changes in circumstances?</w:t>
      </w:r>
    </w:p>
    <w:p w14:paraId="46C4CD42" w14:textId="77777777" w:rsidR="005E2502" w:rsidRDefault="005E2502" w:rsidP="00801E67">
      <w:pPr>
        <w:pStyle w:val="ListParagraph"/>
        <w:numPr>
          <w:ilvl w:val="1"/>
          <w:numId w:val="19"/>
        </w:numPr>
        <w:spacing w:before="120"/>
        <w:ind w:left="274" w:hanging="270"/>
        <w:contextualSpacing w:val="0"/>
        <w:rPr>
          <w:lang w:val="en-PH"/>
        </w:rPr>
      </w:pPr>
      <w:r>
        <w:rPr>
          <w:lang w:val="en-PH"/>
        </w:rPr>
        <w:t>rising domestic inflation</w:t>
      </w:r>
    </w:p>
    <w:p w14:paraId="070333D2" w14:textId="77777777" w:rsidR="005E2502" w:rsidRDefault="005E2502" w:rsidP="00801E67">
      <w:pPr>
        <w:pStyle w:val="ListParagraph"/>
        <w:numPr>
          <w:ilvl w:val="1"/>
          <w:numId w:val="19"/>
        </w:numPr>
        <w:spacing w:before="120"/>
        <w:ind w:left="274" w:hanging="270"/>
        <w:contextualSpacing w:val="0"/>
        <w:rPr>
          <w:lang w:val="en-PH"/>
        </w:rPr>
      </w:pPr>
      <w:r>
        <w:rPr>
          <w:lang w:val="en-PH"/>
        </w:rPr>
        <w:t>declining global prices for its exports</w:t>
      </w:r>
    </w:p>
    <w:p w14:paraId="76C15858" w14:textId="77777777" w:rsidR="005E2502" w:rsidRDefault="005E2502" w:rsidP="00801E67">
      <w:pPr>
        <w:pStyle w:val="ListParagraph"/>
        <w:numPr>
          <w:ilvl w:val="1"/>
          <w:numId w:val="19"/>
        </w:numPr>
        <w:spacing w:before="120"/>
        <w:ind w:left="274" w:hanging="270"/>
        <w:contextualSpacing w:val="0"/>
        <w:rPr>
          <w:lang w:val="en-PH"/>
        </w:rPr>
      </w:pPr>
      <w:r>
        <w:rPr>
          <w:lang w:val="en-PH"/>
        </w:rPr>
        <w:t>rising US interest rates</w:t>
      </w:r>
    </w:p>
    <w:p w14:paraId="59000B48" w14:textId="77777777" w:rsidR="008156AF" w:rsidRDefault="008156AF" w:rsidP="00801E67">
      <w:pPr>
        <w:pStyle w:val="ListParagraph"/>
        <w:spacing w:before="120" w:after="0" w:line="240" w:lineRule="auto"/>
        <w:ind w:left="274"/>
        <w:contextualSpacing w:val="0"/>
        <w:rPr>
          <w:lang w:val="en-PH"/>
        </w:rPr>
      </w:pPr>
    </w:p>
    <w:p w14:paraId="02849596" w14:textId="70DE8D7F" w:rsidR="0056222F" w:rsidRDefault="0056222F">
      <w:pPr>
        <w:rPr>
          <w:lang w:val="en-PH"/>
        </w:rPr>
      </w:pPr>
      <w:r>
        <w:rPr>
          <w:lang w:val="en-PH"/>
        </w:rPr>
        <w:br w:type="page"/>
      </w:r>
    </w:p>
    <w:p w14:paraId="24E73773" w14:textId="0615F54C" w:rsidR="00020E47" w:rsidRPr="002165B0" w:rsidRDefault="002C4173" w:rsidP="002165B0">
      <w:pPr>
        <w:pStyle w:val="ListParagraph"/>
        <w:numPr>
          <w:ilvl w:val="0"/>
          <w:numId w:val="11"/>
        </w:numPr>
        <w:spacing w:before="120" w:after="0" w:line="240" w:lineRule="auto"/>
        <w:ind w:left="270" w:hanging="270"/>
        <w:contextualSpacing w:val="0"/>
        <w:rPr>
          <w:b/>
          <w:bCs/>
          <w:lang w:val="en-PH"/>
        </w:rPr>
      </w:pPr>
      <w:r>
        <w:rPr>
          <w:b/>
          <w:bCs/>
          <w:lang w:val="en-PH"/>
        </w:rPr>
        <w:lastRenderedPageBreak/>
        <w:t xml:space="preserve">BSP </w:t>
      </w:r>
      <w:r w:rsidR="003B07AB" w:rsidRPr="002165B0">
        <w:rPr>
          <w:b/>
          <w:bCs/>
          <w:lang w:val="en-PH"/>
        </w:rPr>
        <w:t xml:space="preserve">response to </w:t>
      </w:r>
      <w:r w:rsidR="00775BEA">
        <w:rPr>
          <w:b/>
          <w:bCs/>
          <w:lang w:val="en-PH"/>
        </w:rPr>
        <w:t xml:space="preserve">external </w:t>
      </w:r>
      <w:r w:rsidR="003B07AB" w:rsidRPr="002165B0">
        <w:rPr>
          <w:b/>
          <w:bCs/>
          <w:lang w:val="en-PH"/>
        </w:rPr>
        <w:t>shock.</w:t>
      </w:r>
    </w:p>
    <w:p w14:paraId="31894955" w14:textId="75C6F5B5" w:rsidR="00CA0826" w:rsidRDefault="00CE7FDC" w:rsidP="00020E47">
      <w:pPr>
        <w:pStyle w:val="ListParagraph"/>
        <w:spacing w:before="120" w:after="0" w:line="240" w:lineRule="auto"/>
        <w:ind w:left="0"/>
        <w:contextualSpacing w:val="0"/>
        <w:rPr>
          <w:lang w:val="en-PH"/>
        </w:rPr>
      </w:pPr>
      <w:r>
        <w:rPr>
          <w:lang w:val="en-PH"/>
        </w:rPr>
        <w:t xml:space="preserve">The chart below shows </w:t>
      </w:r>
      <w:r w:rsidR="00B51CA4">
        <w:rPr>
          <w:lang w:val="en-PH"/>
        </w:rPr>
        <w:t xml:space="preserve">Philippine </w:t>
      </w:r>
      <w:r>
        <w:rPr>
          <w:lang w:val="en-PH"/>
        </w:rPr>
        <w:t xml:space="preserve">exchange rate movement and </w:t>
      </w:r>
      <w:r w:rsidR="001A5219">
        <w:rPr>
          <w:lang w:val="en-PH"/>
        </w:rPr>
        <w:t xml:space="preserve">central bank </w:t>
      </w:r>
      <w:r w:rsidR="00927838">
        <w:rPr>
          <w:lang w:val="en-PH"/>
        </w:rPr>
        <w:t xml:space="preserve">reserve </w:t>
      </w:r>
      <w:r w:rsidR="002D1C2F">
        <w:rPr>
          <w:lang w:val="en-PH"/>
        </w:rPr>
        <w:t>acquisition within the Emerging East Asia context</w:t>
      </w:r>
      <w:r w:rsidR="006E0BF4">
        <w:rPr>
          <w:lang w:val="en-PH"/>
        </w:rPr>
        <w:t xml:space="preserve"> for the period 2008-2022.</w:t>
      </w:r>
    </w:p>
    <w:p w14:paraId="27DA0C5A" w14:textId="0363A6A2" w:rsidR="002C17C8" w:rsidRDefault="00B1697E" w:rsidP="00F76A51">
      <w:pPr>
        <w:pStyle w:val="ListParagraph"/>
        <w:spacing w:before="120" w:after="0" w:line="240" w:lineRule="auto"/>
        <w:ind w:left="0"/>
        <w:contextualSpacing w:val="0"/>
        <w:rPr>
          <w:lang w:val="en-PH"/>
        </w:rPr>
      </w:pPr>
      <w:r>
        <w:rPr>
          <w:noProof/>
          <w:lang w:val="en-PH"/>
        </w:rPr>
        <w:drawing>
          <wp:inline distT="0" distB="0" distL="0" distR="0" wp14:anchorId="7E85AFB0" wp14:editId="055A6C51">
            <wp:extent cx="5797249" cy="3099079"/>
            <wp:effectExtent l="0" t="0" r="0" b="6350"/>
            <wp:docPr id="803938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399" cy="3101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661CC" w14:textId="2C60BFEF" w:rsidR="006E0BF4" w:rsidRDefault="002933B4" w:rsidP="004B2EAB">
      <w:pPr>
        <w:pStyle w:val="ListParagraph"/>
        <w:numPr>
          <w:ilvl w:val="0"/>
          <w:numId w:val="20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In 2008</w:t>
      </w:r>
      <w:r w:rsidR="00DC0E2F">
        <w:rPr>
          <w:lang w:val="en-PH"/>
        </w:rPr>
        <w:t xml:space="preserve">, </w:t>
      </w:r>
      <w:r w:rsidR="00FB618B">
        <w:rPr>
          <w:lang w:val="en-PH"/>
        </w:rPr>
        <w:t xml:space="preserve">the </w:t>
      </w:r>
      <w:r w:rsidR="00DC0E2F">
        <w:rPr>
          <w:lang w:val="en-PH"/>
        </w:rPr>
        <w:t>peso</w:t>
      </w:r>
      <w:r w:rsidR="002D4F77">
        <w:rPr>
          <w:lang w:val="en-PH"/>
        </w:rPr>
        <w:t xml:space="preserve"> </w:t>
      </w:r>
      <w:r w:rsidR="00FB618B">
        <w:rPr>
          <w:lang w:val="en-PH"/>
        </w:rPr>
        <w:t xml:space="preserve">depreciated by </w:t>
      </w:r>
      <w:r w:rsidR="00537448">
        <w:rPr>
          <w:lang w:val="en-PH"/>
        </w:rPr>
        <w:t xml:space="preserve">nearly </w:t>
      </w:r>
      <w:r w:rsidR="002D4F77">
        <w:rPr>
          <w:lang w:val="en-PH"/>
        </w:rPr>
        <w:t>1</w:t>
      </w:r>
      <w:r w:rsidR="00537448">
        <w:rPr>
          <w:lang w:val="en-PH"/>
        </w:rPr>
        <w:t>5</w:t>
      </w:r>
      <w:r w:rsidR="002D4F77">
        <w:rPr>
          <w:lang w:val="en-PH"/>
        </w:rPr>
        <w:t xml:space="preserve"> percent</w:t>
      </w:r>
      <w:r w:rsidR="00DC0E2F">
        <w:rPr>
          <w:lang w:val="en-PH"/>
        </w:rPr>
        <w:t xml:space="preserve"> </w:t>
      </w:r>
      <w:r w:rsidR="0094608D">
        <w:rPr>
          <w:lang w:val="en-PH"/>
        </w:rPr>
        <w:t xml:space="preserve">vs </w:t>
      </w:r>
      <w:r w:rsidR="00DC0E2F">
        <w:rPr>
          <w:lang w:val="en-PH"/>
        </w:rPr>
        <w:t>the US dollar</w:t>
      </w:r>
      <w:r w:rsidR="00FB618B">
        <w:rPr>
          <w:lang w:val="en-PH"/>
        </w:rPr>
        <w:t>.</w:t>
      </w:r>
      <w:r w:rsidR="00805046">
        <w:rPr>
          <w:lang w:val="en-PH"/>
        </w:rPr>
        <w:t xml:space="preserve"> What </w:t>
      </w:r>
      <w:r w:rsidR="008525CE">
        <w:rPr>
          <w:lang w:val="en-PH"/>
        </w:rPr>
        <w:t>are the consequence</w:t>
      </w:r>
      <w:r w:rsidR="005D47C8">
        <w:rPr>
          <w:lang w:val="en-PH"/>
        </w:rPr>
        <w:t>s</w:t>
      </w:r>
      <w:r w:rsidR="008525CE">
        <w:rPr>
          <w:lang w:val="en-PH"/>
        </w:rPr>
        <w:t xml:space="preserve"> of </w:t>
      </w:r>
      <w:r w:rsidR="00634834">
        <w:rPr>
          <w:lang w:val="en-PH"/>
        </w:rPr>
        <w:t>such depreciation for</w:t>
      </w:r>
      <w:r w:rsidR="00751139">
        <w:rPr>
          <w:lang w:val="en-PH"/>
        </w:rPr>
        <w:t>:</w:t>
      </w:r>
      <w:r w:rsidR="00634834">
        <w:rPr>
          <w:lang w:val="en-PH"/>
        </w:rPr>
        <w:t xml:space="preserve"> </w:t>
      </w:r>
      <w:r w:rsidR="004F2A9C">
        <w:rPr>
          <w:lang w:val="en-PH"/>
        </w:rPr>
        <w:t>(i) exporters</w:t>
      </w:r>
      <w:r w:rsidR="004F7517">
        <w:rPr>
          <w:lang w:val="en-PH"/>
        </w:rPr>
        <w:t xml:space="preserve">; </w:t>
      </w:r>
      <w:r w:rsidR="00C53251">
        <w:rPr>
          <w:lang w:val="en-PH"/>
        </w:rPr>
        <w:t>(ii) importers; (iii)</w:t>
      </w:r>
      <w:r w:rsidR="005B7FFB">
        <w:rPr>
          <w:lang w:val="en-PH"/>
        </w:rPr>
        <w:t xml:space="preserve"> </w:t>
      </w:r>
      <w:r w:rsidR="00214078">
        <w:rPr>
          <w:lang w:val="en-PH"/>
        </w:rPr>
        <w:t>OFWs sending remittances; (iv)</w:t>
      </w:r>
      <w:r w:rsidR="00C53251">
        <w:rPr>
          <w:lang w:val="en-PH"/>
        </w:rPr>
        <w:t xml:space="preserve"> borrowers in foreign currency?</w:t>
      </w:r>
    </w:p>
    <w:p w14:paraId="7EFF24F9" w14:textId="2D102472" w:rsidR="008F4F7D" w:rsidRDefault="008F4F7D" w:rsidP="004B2EAB">
      <w:pPr>
        <w:pStyle w:val="ListParagraph"/>
        <w:numPr>
          <w:ilvl w:val="0"/>
          <w:numId w:val="20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 xml:space="preserve">In 2008, what action could the BSP have taken in the forex market to </w:t>
      </w:r>
      <w:r w:rsidR="00624763">
        <w:rPr>
          <w:lang w:val="en-PH"/>
        </w:rPr>
        <w:t xml:space="preserve">restrain depreciation of the peso, </w:t>
      </w:r>
      <w:r w:rsidR="001E415E">
        <w:rPr>
          <w:lang w:val="en-PH"/>
        </w:rPr>
        <w:t>and why might it have chosen not to do so?</w:t>
      </w:r>
    </w:p>
    <w:p w14:paraId="56B3CFBF" w14:textId="53125E7F" w:rsidR="00DB6DC3" w:rsidRDefault="00DB6DC3" w:rsidP="004B2EAB">
      <w:pPr>
        <w:pStyle w:val="ListParagraph"/>
        <w:numPr>
          <w:ilvl w:val="0"/>
          <w:numId w:val="20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In 2009</w:t>
      </w:r>
      <w:r w:rsidR="004062A1">
        <w:rPr>
          <w:lang w:val="en-PH"/>
        </w:rPr>
        <w:t xml:space="preserve"> and 2010</w:t>
      </w:r>
      <w:r w:rsidR="00CF33E7">
        <w:rPr>
          <w:lang w:val="en-PH"/>
        </w:rPr>
        <w:t>,</w:t>
      </w:r>
      <w:r w:rsidR="000C4271">
        <w:rPr>
          <w:lang w:val="en-PH"/>
        </w:rPr>
        <w:t xml:space="preserve"> </w:t>
      </w:r>
      <w:r w:rsidR="00394A7F">
        <w:rPr>
          <w:lang w:val="en-PH"/>
        </w:rPr>
        <w:t xml:space="preserve">the BSP </w:t>
      </w:r>
      <w:r w:rsidR="004841E7">
        <w:rPr>
          <w:lang w:val="en-PH"/>
        </w:rPr>
        <w:t xml:space="preserve">intervened in the forex market to increase reserves by </w:t>
      </w:r>
      <w:r w:rsidR="00CF33E7">
        <w:rPr>
          <w:lang w:val="en-PH"/>
        </w:rPr>
        <w:t xml:space="preserve">a cumulative </w:t>
      </w:r>
      <w:r w:rsidR="00AA42D7">
        <w:rPr>
          <w:lang w:val="en-PH"/>
        </w:rPr>
        <w:t xml:space="preserve">58 percent. </w:t>
      </w:r>
      <w:r w:rsidR="00751139">
        <w:rPr>
          <w:lang w:val="en-PH"/>
        </w:rPr>
        <w:t>What are the consequences of this for:</w:t>
      </w:r>
      <w:r w:rsidR="00A03440">
        <w:rPr>
          <w:lang w:val="en-PH"/>
        </w:rPr>
        <w:t xml:space="preserve"> (i) the value of the peso;</w:t>
      </w:r>
      <w:r w:rsidR="00751139">
        <w:rPr>
          <w:lang w:val="en-PH"/>
        </w:rPr>
        <w:t xml:space="preserve"> </w:t>
      </w:r>
      <w:r w:rsidR="00C60FE8">
        <w:rPr>
          <w:lang w:val="en-PH"/>
        </w:rPr>
        <w:t>(</w:t>
      </w:r>
      <w:r w:rsidR="00A03440">
        <w:rPr>
          <w:lang w:val="en-PH"/>
        </w:rPr>
        <w:t>i</w:t>
      </w:r>
      <w:r w:rsidR="00C60FE8">
        <w:rPr>
          <w:lang w:val="en-PH"/>
        </w:rPr>
        <w:t xml:space="preserve">i) </w:t>
      </w:r>
      <w:r w:rsidR="00CE6B5A">
        <w:rPr>
          <w:lang w:val="en-PH"/>
        </w:rPr>
        <w:t xml:space="preserve">the </w:t>
      </w:r>
      <w:r w:rsidR="000C3C5E">
        <w:rPr>
          <w:lang w:val="en-PH"/>
        </w:rPr>
        <w:t>BSP balance sheet; (ii</w:t>
      </w:r>
      <w:r w:rsidR="00A03440">
        <w:rPr>
          <w:lang w:val="en-PH"/>
        </w:rPr>
        <w:t>i</w:t>
      </w:r>
      <w:r w:rsidR="000C3C5E">
        <w:rPr>
          <w:lang w:val="en-PH"/>
        </w:rPr>
        <w:t>) nominal GDP growth</w:t>
      </w:r>
      <w:r w:rsidR="00211B72">
        <w:rPr>
          <w:lang w:val="en-PH"/>
        </w:rPr>
        <w:t>?</w:t>
      </w:r>
    </w:p>
    <w:p w14:paraId="0EE463F6" w14:textId="0C663C07" w:rsidR="001E415E" w:rsidRPr="000107D9" w:rsidRDefault="00A346C9" w:rsidP="004B2EAB">
      <w:pPr>
        <w:pStyle w:val="ListParagraph"/>
        <w:numPr>
          <w:ilvl w:val="0"/>
          <w:numId w:val="20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Over the period 2008-2022, w</w:t>
      </w:r>
      <w:r w:rsidR="00765552">
        <w:rPr>
          <w:lang w:val="en-PH"/>
        </w:rPr>
        <w:t xml:space="preserve">hat can you say about </w:t>
      </w:r>
      <w:r>
        <w:rPr>
          <w:lang w:val="en-PH"/>
        </w:rPr>
        <w:t>BSP strategy</w:t>
      </w:r>
      <w:r w:rsidR="00287878">
        <w:rPr>
          <w:lang w:val="en-PH"/>
        </w:rPr>
        <w:t xml:space="preserve"> for exchange rate and reserve managment</w:t>
      </w:r>
      <w:r>
        <w:rPr>
          <w:lang w:val="en-PH"/>
        </w:rPr>
        <w:t>?</w:t>
      </w:r>
    </w:p>
    <w:sectPr w:rsidR="001E415E" w:rsidRPr="000107D9" w:rsidSect="00231F01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70C7" w14:textId="77777777" w:rsidR="00231F01" w:rsidRDefault="00231F01" w:rsidP="006E1797">
      <w:pPr>
        <w:spacing w:after="0" w:line="240" w:lineRule="auto"/>
      </w:pPr>
      <w:r>
        <w:separator/>
      </w:r>
    </w:p>
  </w:endnote>
  <w:endnote w:type="continuationSeparator" w:id="0">
    <w:p w14:paraId="4F81F288" w14:textId="77777777" w:rsidR="00231F01" w:rsidRDefault="00231F01" w:rsidP="006E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24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DF722" w14:textId="77777777" w:rsidR="004B6725" w:rsidRDefault="004B67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7DF723" w14:textId="77777777" w:rsidR="0069406A" w:rsidRDefault="00694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3973" w14:textId="77777777" w:rsidR="00231F01" w:rsidRDefault="00231F01" w:rsidP="006E1797">
      <w:pPr>
        <w:spacing w:after="0" w:line="240" w:lineRule="auto"/>
      </w:pPr>
      <w:r>
        <w:separator/>
      </w:r>
    </w:p>
  </w:footnote>
  <w:footnote w:type="continuationSeparator" w:id="0">
    <w:p w14:paraId="34863E3E" w14:textId="77777777" w:rsidR="00231F01" w:rsidRDefault="00231F01" w:rsidP="006E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71E" w14:textId="36D4B195" w:rsidR="004B6725" w:rsidRPr="004B6725" w:rsidRDefault="00BA6025" w:rsidP="00560B34">
    <w:pPr>
      <w:tabs>
        <w:tab w:val="right" w:pos="9270"/>
      </w:tabs>
      <w:spacing w:after="0" w:line="240" w:lineRule="auto"/>
      <w:rPr>
        <w:rFonts w:eastAsia="Times New Roman" w:cs="Times New Roman"/>
      </w:rPr>
    </w:pPr>
    <w:r>
      <w:rPr>
        <w:rFonts w:eastAsia="Times New Roman" w:cs="Times New Roman"/>
      </w:rPr>
      <w:t>Ateneo University</w:t>
    </w:r>
    <w:r w:rsidR="004B6725" w:rsidRPr="004B6725">
      <w:rPr>
        <w:rFonts w:eastAsia="Times New Roman" w:cs="Times New Roman"/>
      </w:rPr>
      <w:tab/>
    </w:r>
    <w:r>
      <w:rPr>
        <w:rFonts w:eastAsia="Times New Roman" w:cs="Times New Roman"/>
      </w:rPr>
      <w:t>Spring</w:t>
    </w:r>
    <w:r w:rsidR="004B6725" w:rsidRPr="004B6725">
      <w:rPr>
        <w:rFonts w:eastAsia="Times New Roman" w:cs="Times New Roman"/>
      </w:rPr>
      <w:t xml:space="preserve"> 20</w:t>
    </w:r>
    <w:r>
      <w:rPr>
        <w:rFonts w:eastAsia="Times New Roman" w:cs="Times New Roman"/>
      </w:rPr>
      <w:t>24</w:t>
    </w:r>
  </w:p>
  <w:p w14:paraId="2D7DF720" w14:textId="6D57BA53" w:rsidR="004B6725" w:rsidRPr="004B6725" w:rsidRDefault="004B6725" w:rsidP="00A5547E">
    <w:pPr>
      <w:tabs>
        <w:tab w:val="center" w:pos="4590"/>
        <w:tab w:val="right" w:pos="9000"/>
      </w:tabs>
      <w:spacing w:after="0" w:line="240" w:lineRule="auto"/>
      <w:rPr>
        <w:rFonts w:eastAsia="Times New Roman" w:cs="Times New Roman"/>
      </w:rPr>
    </w:pPr>
    <w:r w:rsidRPr="004B6725">
      <w:rPr>
        <w:rFonts w:eastAsia="Times New Roman" w:cs="Times New Roman"/>
      </w:rPr>
      <w:tab/>
    </w:r>
    <w:r w:rsidR="00AA683A">
      <w:rPr>
        <w:rFonts w:eastAsia="Times New Roman" w:cs="Times New Roman"/>
      </w:rPr>
      <w:t xml:space="preserve">Intermediate </w:t>
    </w:r>
    <w:r w:rsidRPr="004B6725">
      <w:rPr>
        <w:rFonts w:eastAsia="Times New Roman" w:cs="Times New Roman"/>
      </w:rPr>
      <w:t>Macroeconomic</w:t>
    </w:r>
    <w:r w:rsidR="00AA683A">
      <w:rPr>
        <w:rFonts w:eastAsia="Times New Roman" w:cs="Times New Roman"/>
      </w:rPr>
      <w:t xml:space="preserve"> Theory</w:t>
    </w:r>
  </w:p>
  <w:p w14:paraId="2D7DF721" w14:textId="77777777" w:rsidR="006E1797" w:rsidRPr="004B6725" w:rsidRDefault="006E1797" w:rsidP="004B6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5A4"/>
    <w:multiLevelType w:val="hybridMultilevel"/>
    <w:tmpl w:val="F42E1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D0B"/>
    <w:multiLevelType w:val="hybridMultilevel"/>
    <w:tmpl w:val="0630B4E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685A"/>
    <w:multiLevelType w:val="hybridMultilevel"/>
    <w:tmpl w:val="6B90D1D4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46D"/>
    <w:multiLevelType w:val="hybridMultilevel"/>
    <w:tmpl w:val="774AF0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526C47"/>
    <w:multiLevelType w:val="hybridMultilevel"/>
    <w:tmpl w:val="CC44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5A16"/>
    <w:multiLevelType w:val="hybridMultilevel"/>
    <w:tmpl w:val="846C9A44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378F"/>
    <w:multiLevelType w:val="hybridMultilevel"/>
    <w:tmpl w:val="69A6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6C0D"/>
    <w:multiLevelType w:val="hybridMultilevel"/>
    <w:tmpl w:val="0AC0C254"/>
    <w:lvl w:ilvl="0" w:tplc="3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98262F"/>
    <w:multiLevelType w:val="hybridMultilevel"/>
    <w:tmpl w:val="4EB02B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D0D28"/>
    <w:multiLevelType w:val="hybridMultilevel"/>
    <w:tmpl w:val="08FE4FEC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5531A"/>
    <w:multiLevelType w:val="hybridMultilevel"/>
    <w:tmpl w:val="7FE0424E"/>
    <w:lvl w:ilvl="0" w:tplc="0C321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3584"/>
    <w:multiLevelType w:val="hybridMultilevel"/>
    <w:tmpl w:val="7594176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10A1"/>
    <w:multiLevelType w:val="hybridMultilevel"/>
    <w:tmpl w:val="EA4E5DBA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D1791"/>
    <w:multiLevelType w:val="hybridMultilevel"/>
    <w:tmpl w:val="ABBCB53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D4523"/>
    <w:multiLevelType w:val="hybridMultilevel"/>
    <w:tmpl w:val="F42E1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003D9"/>
    <w:multiLevelType w:val="hybridMultilevel"/>
    <w:tmpl w:val="111248B6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E3FCE"/>
    <w:multiLevelType w:val="hybridMultilevel"/>
    <w:tmpl w:val="0E0AE8B6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72D02"/>
    <w:multiLevelType w:val="hybridMultilevel"/>
    <w:tmpl w:val="45FC5A7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11225"/>
    <w:multiLevelType w:val="hybridMultilevel"/>
    <w:tmpl w:val="6D1A1FA0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F4915"/>
    <w:multiLevelType w:val="hybridMultilevel"/>
    <w:tmpl w:val="4EB02BB0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92471">
    <w:abstractNumId w:val="6"/>
  </w:num>
  <w:num w:numId="2" w16cid:durableId="198276194">
    <w:abstractNumId w:val="14"/>
  </w:num>
  <w:num w:numId="3" w16cid:durableId="1852603687">
    <w:abstractNumId w:val="0"/>
  </w:num>
  <w:num w:numId="4" w16cid:durableId="1275212462">
    <w:abstractNumId w:val="17"/>
  </w:num>
  <w:num w:numId="5" w16cid:durableId="1136489732">
    <w:abstractNumId w:val="13"/>
  </w:num>
  <w:num w:numId="6" w16cid:durableId="730271383">
    <w:abstractNumId w:val="4"/>
  </w:num>
  <w:num w:numId="7" w16cid:durableId="1044867510">
    <w:abstractNumId w:val="2"/>
  </w:num>
  <w:num w:numId="8" w16cid:durableId="196433261">
    <w:abstractNumId w:val="9"/>
  </w:num>
  <w:num w:numId="9" w16cid:durableId="1999111729">
    <w:abstractNumId w:val="5"/>
  </w:num>
  <w:num w:numId="10" w16cid:durableId="903564218">
    <w:abstractNumId w:val="11"/>
  </w:num>
  <w:num w:numId="11" w16cid:durableId="1797600247">
    <w:abstractNumId w:val="10"/>
  </w:num>
  <w:num w:numId="12" w16cid:durableId="36438378">
    <w:abstractNumId w:val="15"/>
  </w:num>
  <w:num w:numId="13" w16cid:durableId="59180396">
    <w:abstractNumId w:val="7"/>
  </w:num>
  <w:num w:numId="14" w16cid:durableId="314648574">
    <w:abstractNumId w:val="18"/>
  </w:num>
  <w:num w:numId="15" w16cid:durableId="1775124871">
    <w:abstractNumId w:val="19"/>
  </w:num>
  <w:num w:numId="16" w16cid:durableId="1749231084">
    <w:abstractNumId w:val="3"/>
  </w:num>
  <w:num w:numId="17" w16cid:durableId="148446212">
    <w:abstractNumId w:val="12"/>
  </w:num>
  <w:num w:numId="18" w16cid:durableId="506289078">
    <w:abstractNumId w:val="8"/>
  </w:num>
  <w:num w:numId="19" w16cid:durableId="1853376926">
    <w:abstractNumId w:val="1"/>
  </w:num>
  <w:num w:numId="20" w16cid:durableId="303119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80"/>
    <w:rsid w:val="000107D9"/>
    <w:rsid w:val="00014583"/>
    <w:rsid w:val="00017B8A"/>
    <w:rsid w:val="00020E47"/>
    <w:rsid w:val="000402EB"/>
    <w:rsid w:val="00043AB5"/>
    <w:rsid w:val="00057B06"/>
    <w:rsid w:val="00061889"/>
    <w:rsid w:val="00066597"/>
    <w:rsid w:val="0006781C"/>
    <w:rsid w:val="000738AE"/>
    <w:rsid w:val="00085A61"/>
    <w:rsid w:val="00096185"/>
    <w:rsid w:val="000B44DB"/>
    <w:rsid w:val="000C3C5E"/>
    <w:rsid w:val="000C4271"/>
    <w:rsid w:val="000C6D37"/>
    <w:rsid w:val="000D2798"/>
    <w:rsid w:val="000D46C0"/>
    <w:rsid w:val="000E32D7"/>
    <w:rsid w:val="000E5114"/>
    <w:rsid w:val="001009DA"/>
    <w:rsid w:val="00105C53"/>
    <w:rsid w:val="00107A8B"/>
    <w:rsid w:val="00122E95"/>
    <w:rsid w:val="00147DA3"/>
    <w:rsid w:val="001540B4"/>
    <w:rsid w:val="00163FE1"/>
    <w:rsid w:val="0016621A"/>
    <w:rsid w:val="0018378D"/>
    <w:rsid w:val="00186864"/>
    <w:rsid w:val="001A0BAE"/>
    <w:rsid w:val="001A109E"/>
    <w:rsid w:val="001A3BE0"/>
    <w:rsid w:val="001A5219"/>
    <w:rsid w:val="001B4171"/>
    <w:rsid w:val="001B7EB5"/>
    <w:rsid w:val="001C5154"/>
    <w:rsid w:val="001D32CC"/>
    <w:rsid w:val="001E14E5"/>
    <w:rsid w:val="001E16E1"/>
    <w:rsid w:val="001E415E"/>
    <w:rsid w:val="001E489F"/>
    <w:rsid w:val="0020103F"/>
    <w:rsid w:val="00201FE7"/>
    <w:rsid w:val="00210980"/>
    <w:rsid w:val="00211A29"/>
    <w:rsid w:val="00211B72"/>
    <w:rsid w:val="0021277B"/>
    <w:rsid w:val="002133AB"/>
    <w:rsid w:val="00214078"/>
    <w:rsid w:val="002165B0"/>
    <w:rsid w:val="00224761"/>
    <w:rsid w:val="00231F01"/>
    <w:rsid w:val="00235ED6"/>
    <w:rsid w:val="00263011"/>
    <w:rsid w:val="002706B5"/>
    <w:rsid w:val="00282195"/>
    <w:rsid w:val="00287878"/>
    <w:rsid w:val="00292646"/>
    <w:rsid w:val="002933B4"/>
    <w:rsid w:val="002A5B6A"/>
    <w:rsid w:val="002A71FF"/>
    <w:rsid w:val="002B4B51"/>
    <w:rsid w:val="002C17C8"/>
    <w:rsid w:val="002C4173"/>
    <w:rsid w:val="002C5A6B"/>
    <w:rsid w:val="002D18AF"/>
    <w:rsid w:val="002D1C2F"/>
    <w:rsid w:val="002D4F77"/>
    <w:rsid w:val="00302DF9"/>
    <w:rsid w:val="0030434C"/>
    <w:rsid w:val="00314775"/>
    <w:rsid w:val="00321AD9"/>
    <w:rsid w:val="00324D5A"/>
    <w:rsid w:val="00324EAB"/>
    <w:rsid w:val="00325DA2"/>
    <w:rsid w:val="003320EE"/>
    <w:rsid w:val="00332B67"/>
    <w:rsid w:val="00333D32"/>
    <w:rsid w:val="003618B0"/>
    <w:rsid w:val="0037083D"/>
    <w:rsid w:val="00376655"/>
    <w:rsid w:val="00392D3F"/>
    <w:rsid w:val="00394A7F"/>
    <w:rsid w:val="003A4238"/>
    <w:rsid w:val="003A6A1F"/>
    <w:rsid w:val="003B07AB"/>
    <w:rsid w:val="003B5F3C"/>
    <w:rsid w:val="003B67F6"/>
    <w:rsid w:val="003C7913"/>
    <w:rsid w:val="003D2460"/>
    <w:rsid w:val="003E0DB0"/>
    <w:rsid w:val="003E3C65"/>
    <w:rsid w:val="003E4D0E"/>
    <w:rsid w:val="003F45B0"/>
    <w:rsid w:val="003F62F2"/>
    <w:rsid w:val="003F7381"/>
    <w:rsid w:val="0040055E"/>
    <w:rsid w:val="00403117"/>
    <w:rsid w:val="004062A1"/>
    <w:rsid w:val="00430580"/>
    <w:rsid w:val="00456EFD"/>
    <w:rsid w:val="0045739D"/>
    <w:rsid w:val="004606DF"/>
    <w:rsid w:val="00465AFE"/>
    <w:rsid w:val="004723C7"/>
    <w:rsid w:val="00474513"/>
    <w:rsid w:val="00476C3F"/>
    <w:rsid w:val="0048084C"/>
    <w:rsid w:val="00482B0C"/>
    <w:rsid w:val="004833A1"/>
    <w:rsid w:val="004837A1"/>
    <w:rsid w:val="004841E7"/>
    <w:rsid w:val="00490A39"/>
    <w:rsid w:val="00491E4B"/>
    <w:rsid w:val="004A2845"/>
    <w:rsid w:val="004A3CC7"/>
    <w:rsid w:val="004A7281"/>
    <w:rsid w:val="004B04BE"/>
    <w:rsid w:val="004B237D"/>
    <w:rsid w:val="004B2EAB"/>
    <w:rsid w:val="004B6725"/>
    <w:rsid w:val="004C1FB7"/>
    <w:rsid w:val="004E43DE"/>
    <w:rsid w:val="004F2A9C"/>
    <w:rsid w:val="004F7517"/>
    <w:rsid w:val="00520DBB"/>
    <w:rsid w:val="00522E99"/>
    <w:rsid w:val="0052529B"/>
    <w:rsid w:val="0053039A"/>
    <w:rsid w:val="00532CB7"/>
    <w:rsid w:val="00533E85"/>
    <w:rsid w:val="00537448"/>
    <w:rsid w:val="0054358E"/>
    <w:rsid w:val="00560B34"/>
    <w:rsid w:val="005613DE"/>
    <w:rsid w:val="0056191E"/>
    <w:rsid w:val="0056222F"/>
    <w:rsid w:val="00562F27"/>
    <w:rsid w:val="00566610"/>
    <w:rsid w:val="005733EA"/>
    <w:rsid w:val="00577F1D"/>
    <w:rsid w:val="00583199"/>
    <w:rsid w:val="005978F6"/>
    <w:rsid w:val="005A6AA8"/>
    <w:rsid w:val="005B26E3"/>
    <w:rsid w:val="005B7FFB"/>
    <w:rsid w:val="005C3A05"/>
    <w:rsid w:val="005D1B4C"/>
    <w:rsid w:val="005D28DF"/>
    <w:rsid w:val="005D47C8"/>
    <w:rsid w:val="005E2502"/>
    <w:rsid w:val="005F0525"/>
    <w:rsid w:val="00605EF8"/>
    <w:rsid w:val="006173F9"/>
    <w:rsid w:val="00624763"/>
    <w:rsid w:val="00626421"/>
    <w:rsid w:val="00626A55"/>
    <w:rsid w:val="00634387"/>
    <w:rsid w:val="0063441A"/>
    <w:rsid w:val="00634834"/>
    <w:rsid w:val="006416D5"/>
    <w:rsid w:val="00644DF1"/>
    <w:rsid w:val="006465E5"/>
    <w:rsid w:val="00653838"/>
    <w:rsid w:val="00653A1E"/>
    <w:rsid w:val="00663559"/>
    <w:rsid w:val="0067139D"/>
    <w:rsid w:val="00677BD6"/>
    <w:rsid w:val="00682B68"/>
    <w:rsid w:val="006866C6"/>
    <w:rsid w:val="0068729E"/>
    <w:rsid w:val="00687B90"/>
    <w:rsid w:val="006904FB"/>
    <w:rsid w:val="00692480"/>
    <w:rsid w:val="00693303"/>
    <w:rsid w:val="0069406A"/>
    <w:rsid w:val="0069698E"/>
    <w:rsid w:val="0069718D"/>
    <w:rsid w:val="006A058C"/>
    <w:rsid w:val="006A05E3"/>
    <w:rsid w:val="006A3FC6"/>
    <w:rsid w:val="006B16EB"/>
    <w:rsid w:val="006B1DD4"/>
    <w:rsid w:val="006B4433"/>
    <w:rsid w:val="006B7517"/>
    <w:rsid w:val="006C2719"/>
    <w:rsid w:val="006C33C2"/>
    <w:rsid w:val="006D09ED"/>
    <w:rsid w:val="006D2E14"/>
    <w:rsid w:val="006E0BF4"/>
    <w:rsid w:val="006E1797"/>
    <w:rsid w:val="006E29C3"/>
    <w:rsid w:val="006E2D89"/>
    <w:rsid w:val="006E6FE2"/>
    <w:rsid w:val="006F1876"/>
    <w:rsid w:val="006F7E96"/>
    <w:rsid w:val="0070576D"/>
    <w:rsid w:val="0071687C"/>
    <w:rsid w:val="00722A7C"/>
    <w:rsid w:val="0072394B"/>
    <w:rsid w:val="007278FB"/>
    <w:rsid w:val="00732F11"/>
    <w:rsid w:val="00736455"/>
    <w:rsid w:val="00741F25"/>
    <w:rsid w:val="00751139"/>
    <w:rsid w:val="00760F1F"/>
    <w:rsid w:val="00765552"/>
    <w:rsid w:val="00771BA7"/>
    <w:rsid w:val="00775327"/>
    <w:rsid w:val="00775BEA"/>
    <w:rsid w:val="00781276"/>
    <w:rsid w:val="0078277D"/>
    <w:rsid w:val="007A0F19"/>
    <w:rsid w:val="007A7589"/>
    <w:rsid w:val="007C3E7F"/>
    <w:rsid w:val="007C70A9"/>
    <w:rsid w:val="007C7DAD"/>
    <w:rsid w:val="007D3DD7"/>
    <w:rsid w:val="007E0061"/>
    <w:rsid w:val="007E2DBF"/>
    <w:rsid w:val="007E2E59"/>
    <w:rsid w:val="00801E67"/>
    <w:rsid w:val="00805046"/>
    <w:rsid w:val="008156AF"/>
    <w:rsid w:val="0082002B"/>
    <w:rsid w:val="00830D9F"/>
    <w:rsid w:val="00830EFB"/>
    <w:rsid w:val="00831E4F"/>
    <w:rsid w:val="00833374"/>
    <w:rsid w:val="00837239"/>
    <w:rsid w:val="00840039"/>
    <w:rsid w:val="00842600"/>
    <w:rsid w:val="008525CE"/>
    <w:rsid w:val="00855C7B"/>
    <w:rsid w:val="008571FE"/>
    <w:rsid w:val="00860A53"/>
    <w:rsid w:val="00861E95"/>
    <w:rsid w:val="008767CF"/>
    <w:rsid w:val="00886509"/>
    <w:rsid w:val="00891B45"/>
    <w:rsid w:val="00894CE7"/>
    <w:rsid w:val="008A2775"/>
    <w:rsid w:val="008A6251"/>
    <w:rsid w:val="008A747E"/>
    <w:rsid w:val="008A7F30"/>
    <w:rsid w:val="008B1CCF"/>
    <w:rsid w:val="008B1EB7"/>
    <w:rsid w:val="008D5057"/>
    <w:rsid w:val="008E0473"/>
    <w:rsid w:val="008F4F7D"/>
    <w:rsid w:val="008F67DC"/>
    <w:rsid w:val="009035CA"/>
    <w:rsid w:val="00913ADC"/>
    <w:rsid w:val="00914C4D"/>
    <w:rsid w:val="0091753A"/>
    <w:rsid w:val="00927838"/>
    <w:rsid w:val="009326CD"/>
    <w:rsid w:val="009330C3"/>
    <w:rsid w:val="00937AF9"/>
    <w:rsid w:val="0094178B"/>
    <w:rsid w:val="0094608D"/>
    <w:rsid w:val="00951A53"/>
    <w:rsid w:val="00951F7F"/>
    <w:rsid w:val="00970B4D"/>
    <w:rsid w:val="00971479"/>
    <w:rsid w:val="009743BA"/>
    <w:rsid w:val="009869DA"/>
    <w:rsid w:val="00994AAA"/>
    <w:rsid w:val="00995DE3"/>
    <w:rsid w:val="00996FE2"/>
    <w:rsid w:val="009A2CF3"/>
    <w:rsid w:val="009B06B4"/>
    <w:rsid w:val="009B7365"/>
    <w:rsid w:val="009C259C"/>
    <w:rsid w:val="009D296A"/>
    <w:rsid w:val="009E2BAD"/>
    <w:rsid w:val="009E5193"/>
    <w:rsid w:val="00A0102A"/>
    <w:rsid w:val="00A01CB6"/>
    <w:rsid w:val="00A03440"/>
    <w:rsid w:val="00A06B20"/>
    <w:rsid w:val="00A116C2"/>
    <w:rsid w:val="00A17C23"/>
    <w:rsid w:val="00A24CDB"/>
    <w:rsid w:val="00A25B06"/>
    <w:rsid w:val="00A268C3"/>
    <w:rsid w:val="00A346C9"/>
    <w:rsid w:val="00A416DA"/>
    <w:rsid w:val="00A5547E"/>
    <w:rsid w:val="00A57105"/>
    <w:rsid w:val="00A60289"/>
    <w:rsid w:val="00A66513"/>
    <w:rsid w:val="00A816C0"/>
    <w:rsid w:val="00A84C57"/>
    <w:rsid w:val="00A91ACF"/>
    <w:rsid w:val="00A92AE5"/>
    <w:rsid w:val="00A97D1D"/>
    <w:rsid w:val="00AA0A7A"/>
    <w:rsid w:val="00AA42D7"/>
    <w:rsid w:val="00AA683A"/>
    <w:rsid w:val="00AC273C"/>
    <w:rsid w:val="00AC5E2B"/>
    <w:rsid w:val="00AC7B52"/>
    <w:rsid w:val="00AD3194"/>
    <w:rsid w:val="00AD7B38"/>
    <w:rsid w:val="00AE6FD6"/>
    <w:rsid w:val="00AE72FA"/>
    <w:rsid w:val="00AF3D92"/>
    <w:rsid w:val="00AF7937"/>
    <w:rsid w:val="00B00E3A"/>
    <w:rsid w:val="00B01817"/>
    <w:rsid w:val="00B019D2"/>
    <w:rsid w:val="00B052CE"/>
    <w:rsid w:val="00B0708D"/>
    <w:rsid w:val="00B1697E"/>
    <w:rsid w:val="00B229C9"/>
    <w:rsid w:val="00B303B9"/>
    <w:rsid w:val="00B40A8A"/>
    <w:rsid w:val="00B51CA4"/>
    <w:rsid w:val="00B52F20"/>
    <w:rsid w:val="00B5319E"/>
    <w:rsid w:val="00B635DA"/>
    <w:rsid w:val="00B679E2"/>
    <w:rsid w:val="00B67CDB"/>
    <w:rsid w:val="00B71793"/>
    <w:rsid w:val="00B759E8"/>
    <w:rsid w:val="00B8124F"/>
    <w:rsid w:val="00B8210B"/>
    <w:rsid w:val="00B84FF6"/>
    <w:rsid w:val="00B9194D"/>
    <w:rsid w:val="00B933EB"/>
    <w:rsid w:val="00BA1370"/>
    <w:rsid w:val="00BA6025"/>
    <w:rsid w:val="00BB5553"/>
    <w:rsid w:val="00BB7114"/>
    <w:rsid w:val="00BB7E36"/>
    <w:rsid w:val="00BC0C3A"/>
    <w:rsid w:val="00BE0093"/>
    <w:rsid w:val="00BE1B8E"/>
    <w:rsid w:val="00BF2AC1"/>
    <w:rsid w:val="00C01F70"/>
    <w:rsid w:val="00C04940"/>
    <w:rsid w:val="00C05E4E"/>
    <w:rsid w:val="00C133FA"/>
    <w:rsid w:val="00C279E9"/>
    <w:rsid w:val="00C31682"/>
    <w:rsid w:val="00C362AF"/>
    <w:rsid w:val="00C53251"/>
    <w:rsid w:val="00C573A2"/>
    <w:rsid w:val="00C60FE8"/>
    <w:rsid w:val="00C82EC5"/>
    <w:rsid w:val="00C845C1"/>
    <w:rsid w:val="00C924EA"/>
    <w:rsid w:val="00CA0826"/>
    <w:rsid w:val="00CA2ECF"/>
    <w:rsid w:val="00CA4CDD"/>
    <w:rsid w:val="00CA66A4"/>
    <w:rsid w:val="00CC22FC"/>
    <w:rsid w:val="00CC55E6"/>
    <w:rsid w:val="00CD7650"/>
    <w:rsid w:val="00CE506C"/>
    <w:rsid w:val="00CE6A39"/>
    <w:rsid w:val="00CE6B5A"/>
    <w:rsid w:val="00CE7FDC"/>
    <w:rsid w:val="00CF19CF"/>
    <w:rsid w:val="00CF33E7"/>
    <w:rsid w:val="00CF44F3"/>
    <w:rsid w:val="00CF4CFF"/>
    <w:rsid w:val="00D121F0"/>
    <w:rsid w:val="00D17FFB"/>
    <w:rsid w:val="00D250D1"/>
    <w:rsid w:val="00D33DFF"/>
    <w:rsid w:val="00D376FB"/>
    <w:rsid w:val="00D4302D"/>
    <w:rsid w:val="00D52856"/>
    <w:rsid w:val="00D56103"/>
    <w:rsid w:val="00D6454C"/>
    <w:rsid w:val="00D74573"/>
    <w:rsid w:val="00D76F80"/>
    <w:rsid w:val="00D865DD"/>
    <w:rsid w:val="00D90269"/>
    <w:rsid w:val="00D9140F"/>
    <w:rsid w:val="00D93A17"/>
    <w:rsid w:val="00DA4E51"/>
    <w:rsid w:val="00DB1373"/>
    <w:rsid w:val="00DB6DC3"/>
    <w:rsid w:val="00DC07E7"/>
    <w:rsid w:val="00DC0E2F"/>
    <w:rsid w:val="00DC1B65"/>
    <w:rsid w:val="00DC2581"/>
    <w:rsid w:val="00DC61DF"/>
    <w:rsid w:val="00DD7892"/>
    <w:rsid w:val="00DE63E8"/>
    <w:rsid w:val="00DF4111"/>
    <w:rsid w:val="00E153F9"/>
    <w:rsid w:val="00E17079"/>
    <w:rsid w:val="00E203D1"/>
    <w:rsid w:val="00E3315D"/>
    <w:rsid w:val="00E3417E"/>
    <w:rsid w:val="00E3580F"/>
    <w:rsid w:val="00E37210"/>
    <w:rsid w:val="00E51608"/>
    <w:rsid w:val="00E57EB1"/>
    <w:rsid w:val="00E62670"/>
    <w:rsid w:val="00E67C11"/>
    <w:rsid w:val="00E75069"/>
    <w:rsid w:val="00E75A6B"/>
    <w:rsid w:val="00E83E69"/>
    <w:rsid w:val="00E936FF"/>
    <w:rsid w:val="00EA0C2D"/>
    <w:rsid w:val="00EA665E"/>
    <w:rsid w:val="00EC7891"/>
    <w:rsid w:val="00EE2778"/>
    <w:rsid w:val="00EF4FFF"/>
    <w:rsid w:val="00EF790E"/>
    <w:rsid w:val="00F01FC4"/>
    <w:rsid w:val="00F05D3F"/>
    <w:rsid w:val="00F2111C"/>
    <w:rsid w:val="00F25C08"/>
    <w:rsid w:val="00F3058D"/>
    <w:rsid w:val="00F36E5B"/>
    <w:rsid w:val="00F4094E"/>
    <w:rsid w:val="00F431C9"/>
    <w:rsid w:val="00F45C1A"/>
    <w:rsid w:val="00F52C1F"/>
    <w:rsid w:val="00F60C77"/>
    <w:rsid w:val="00F662AB"/>
    <w:rsid w:val="00F76A51"/>
    <w:rsid w:val="00F9167E"/>
    <w:rsid w:val="00FA2B56"/>
    <w:rsid w:val="00FA58A2"/>
    <w:rsid w:val="00FB618B"/>
    <w:rsid w:val="00FC120B"/>
    <w:rsid w:val="00FD5C72"/>
    <w:rsid w:val="00FD7C65"/>
    <w:rsid w:val="00FE4B9C"/>
    <w:rsid w:val="00FF1BD3"/>
    <w:rsid w:val="00FF25D0"/>
    <w:rsid w:val="00FF375C"/>
    <w:rsid w:val="00FF44F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F6E9"/>
  <w15:docId w15:val="{18836C31-5F85-4376-8036-253B80DB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9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97"/>
  </w:style>
  <w:style w:type="paragraph" w:styleId="Footer">
    <w:name w:val="footer"/>
    <w:basedOn w:val="Normal"/>
    <w:link w:val="FooterChar"/>
    <w:uiPriority w:val="99"/>
    <w:unhideWhenUsed/>
    <w:rsid w:val="006E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97"/>
  </w:style>
  <w:style w:type="character" w:styleId="FollowedHyperlink">
    <w:name w:val="FollowedHyperlink"/>
    <w:basedOn w:val="DefaultParagraphFont"/>
    <w:uiPriority w:val="99"/>
    <w:semiHidden/>
    <w:unhideWhenUsed/>
    <w:rsid w:val="00DC1B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9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7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clab201411</dc:creator>
  <cp:lastModifiedBy>Calla Wiemer</cp:lastModifiedBy>
  <cp:revision>105</cp:revision>
  <cp:lastPrinted>2024-03-07T06:10:00Z</cp:lastPrinted>
  <dcterms:created xsi:type="dcterms:W3CDTF">2024-03-18T10:13:00Z</dcterms:created>
  <dcterms:modified xsi:type="dcterms:W3CDTF">2024-04-15T10:17:00Z</dcterms:modified>
</cp:coreProperties>
</file>