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F6E9" w14:textId="4F4D5D4F" w:rsidR="00894CE7" w:rsidRDefault="00995DE3" w:rsidP="002133AB">
      <w:pPr>
        <w:tabs>
          <w:tab w:val="left" w:pos="7470"/>
        </w:tabs>
        <w:spacing w:after="0" w:line="240" w:lineRule="auto"/>
        <w:jc w:val="center"/>
        <w:rPr>
          <w:b/>
          <w:sz w:val="28"/>
          <w:szCs w:val="28"/>
        </w:rPr>
      </w:pPr>
      <w:r>
        <w:rPr>
          <w:b/>
          <w:sz w:val="28"/>
          <w:szCs w:val="28"/>
        </w:rPr>
        <w:t>Homework #</w:t>
      </w:r>
      <w:r w:rsidR="00AA683A">
        <w:rPr>
          <w:b/>
          <w:sz w:val="28"/>
          <w:szCs w:val="28"/>
        </w:rPr>
        <w:t>2</w:t>
      </w:r>
    </w:p>
    <w:p w14:paraId="2D7DF6EA" w14:textId="73AB3788" w:rsidR="00995DE3" w:rsidRPr="005B26E3" w:rsidRDefault="00995DE3" w:rsidP="00A0102A">
      <w:pPr>
        <w:spacing w:line="240" w:lineRule="auto"/>
        <w:jc w:val="center"/>
      </w:pPr>
      <w:r w:rsidRPr="005B26E3">
        <w:t xml:space="preserve">Due:  </w:t>
      </w:r>
      <w:r w:rsidR="005D1B4C" w:rsidRPr="005B26E3">
        <w:t xml:space="preserve">8 February </w:t>
      </w:r>
      <w:r w:rsidRPr="005B26E3">
        <w:t>20</w:t>
      </w:r>
      <w:r w:rsidR="005D1B4C" w:rsidRPr="005B26E3">
        <w:t>24</w:t>
      </w:r>
    </w:p>
    <w:p w14:paraId="2D7DF6F3" w14:textId="77777777" w:rsidR="00EF4FFF" w:rsidRDefault="00EF4FFF" w:rsidP="00A0102A">
      <w:pPr>
        <w:spacing w:before="120" w:after="0" w:line="240" w:lineRule="auto"/>
        <w:rPr>
          <w:lang w:val="en-PH"/>
        </w:rPr>
      </w:pPr>
    </w:p>
    <w:p w14:paraId="2D7DF6F4" w14:textId="4C334133" w:rsidR="00163FE1" w:rsidRDefault="005B26E3" w:rsidP="000B44DB">
      <w:pPr>
        <w:spacing w:after="0" w:line="240" w:lineRule="auto"/>
        <w:rPr>
          <w:b/>
          <w:lang w:val="en-PH"/>
        </w:rPr>
      </w:pPr>
      <w:r>
        <w:rPr>
          <w:b/>
          <w:lang w:val="en-PH"/>
        </w:rPr>
        <w:t>1</w:t>
      </w:r>
      <w:r w:rsidR="0068729E">
        <w:rPr>
          <w:b/>
          <w:lang w:val="en-PH"/>
        </w:rPr>
        <w:t>. SAVING/INVESTMENT &amp; TRADE BALANCE IN THAILAND</w:t>
      </w:r>
    </w:p>
    <w:p w14:paraId="2D7DF6F5" w14:textId="77777777" w:rsidR="0068729E" w:rsidRDefault="0068729E" w:rsidP="000B44DB">
      <w:pPr>
        <w:spacing w:after="0" w:line="240" w:lineRule="auto"/>
        <w:rPr>
          <w:b/>
          <w:lang w:val="en-PH"/>
        </w:rPr>
      </w:pPr>
    </w:p>
    <w:p w14:paraId="2D7DF6F6" w14:textId="77777777" w:rsidR="0068729E" w:rsidRDefault="0068729E" w:rsidP="00E62670">
      <w:pPr>
        <w:spacing w:line="240" w:lineRule="auto"/>
        <w:rPr>
          <w:lang w:val="en-PH"/>
        </w:rPr>
      </w:pPr>
      <w:r>
        <w:rPr>
          <w:noProof/>
          <w:lang w:val="en-PH" w:eastAsia="zh-CN"/>
        </w:rPr>
        <w:drawing>
          <wp:anchor distT="0" distB="0" distL="114300" distR="114300" simplePos="0" relativeHeight="251658240" behindDoc="0" locked="0" layoutInCell="1" allowOverlap="1" wp14:anchorId="2D7DF718" wp14:editId="77B35B50">
            <wp:simplePos x="0" y="0"/>
            <wp:positionH relativeFrom="column">
              <wp:posOffset>2159000</wp:posOffset>
            </wp:positionH>
            <wp:positionV relativeFrom="paragraph">
              <wp:posOffset>20955</wp:posOffset>
            </wp:positionV>
            <wp:extent cx="3603625" cy="181991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3625" cy="1819910"/>
                    </a:xfrm>
                    <a:prstGeom prst="rect">
                      <a:avLst/>
                    </a:prstGeom>
                    <a:noFill/>
                  </pic:spPr>
                </pic:pic>
              </a:graphicData>
            </a:graphic>
            <wp14:sizeRelH relativeFrom="page">
              <wp14:pctWidth>0</wp14:pctWidth>
            </wp14:sizeRelH>
            <wp14:sizeRelV relativeFrom="page">
              <wp14:pctHeight>0</wp14:pctHeight>
            </wp14:sizeRelV>
          </wp:anchor>
        </w:drawing>
      </w:r>
      <w:r>
        <w:rPr>
          <w:lang w:val="en-PH"/>
        </w:rPr>
        <w:t>Consider the saving and investment rates for Thailand shown in the figure.</w:t>
      </w:r>
    </w:p>
    <w:p w14:paraId="2D7DF6F7" w14:textId="77777777" w:rsidR="00E62670" w:rsidRDefault="00E62670" w:rsidP="00CF4CFF">
      <w:pPr>
        <w:spacing w:before="120" w:after="0" w:line="240" w:lineRule="auto"/>
        <w:rPr>
          <w:lang w:val="en-PH"/>
        </w:rPr>
      </w:pPr>
      <w:r>
        <w:rPr>
          <w:lang w:val="en-PH"/>
        </w:rPr>
        <w:t>a) What is implied about foreign capital flows during 1990-1997? … during 1998-2003?</w:t>
      </w:r>
    </w:p>
    <w:p w14:paraId="2D7DF6F8" w14:textId="77777777" w:rsidR="00E62670" w:rsidRDefault="00E62670" w:rsidP="00CF4CFF">
      <w:pPr>
        <w:spacing w:before="120" w:after="0" w:line="240" w:lineRule="auto"/>
        <w:rPr>
          <w:lang w:val="en-PH"/>
        </w:rPr>
      </w:pPr>
      <w:r>
        <w:rPr>
          <w:lang w:val="en-PH"/>
        </w:rPr>
        <w:t>b) What is implied about the trade balance during the two periods?</w:t>
      </w:r>
    </w:p>
    <w:p w14:paraId="0FEBE115" w14:textId="77777777" w:rsidR="00CF4CFF" w:rsidRDefault="00CF4CFF" w:rsidP="00E62670">
      <w:pPr>
        <w:spacing w:line="240" w:lineRule="auto"/>
        <w:rPr>
          <w:lang w:val="en-PH"/>
        </w:rPr>
      </w:pPr>
    </w:p>
    <w:p w14:paraId="07D21219" w14:textId="77777777" w:rsidR="00B71793" w:rsidRDefault="00B71793" w:rsidP="00B71793">
      <w:pPr>
        <w:spacing w:after="0" w:line="240" w:lineRule="auto"/>
        <w:rPr>
          <w:lang w:val="en-PH"/>
        </w:rPr>
      </w:pPr>
    </w:p>
    <w:p w14:paraId="2D7DF6FB" w14:textId="0B771268" w:rsidR="00E62670" w:rsidRPr="007E2E59" w:rsidRDefault="00A92AE5" w:rsidP="00E62670">
      <w:pPr>
        <w:spacing w:line="240" w:lineRule="auto"/>
        <w:rPr>
          <w:b/>
          <w:lang w:val="en-PH"/>
        </w:rPr>
      </w:pPr>
      <w:r>
        <w:rPr>
          <w:b/>
          <w:lang w:val="en-PH"/>
        </w:rPr>
        <w:t>2</w:t>
      </w:r>
      <w:r w:rsidR="007E2E59" w:rsidRPr="007E2E59">
        <w:rPr>
          <w:b/>
          <w:lang w:val="en-PH"/>
        </w:rPr>
        <w:t>. SAVING AND ECONOMIC DEVELOPMENT</w:t>
      </w:r>
    </w:p>
    <w:p w14:paraId="2D7DF6FC" w14:textId="28DC129C" w:rsidR="001009DA" w:rsidRDefault="007E2E59" w:rsidP="00861E95">
      <w:pPr>
        <w:spacing w:after="0" w:line="240" w:lineRule="auto"/>
        <w:rPr>
          <w:lang w:val="en-PH"/>
        </w:rPr>
      </w:pPr>
      <w:r>
        <w:rPr>
          <w:lang w:val="en-PH"/>
        </w:rPr>
        <w:t>During periods of growth take-off in developing countries, the national saving rate tends to rise</w:t>
      </w:r>
      <w:r w:rsidR="008A2775">
        <w:rPr>
          <w:lang w:val="en-PH"/>
        </w:rPr>
        <w:t xml:space="preserve"> (note case</w:t>
      </w:r>
      <w:r w:rsidR="00C573A2">
        <w:rPr>
          <w:lang w:val="en-PH"/>
        </w:rPr>
        <w:t xml:space="preserve"> of</w:t>
      </w:r>
      <w:r w:rsidR="008A2775">
        <w:rPr>
          <w:lang w:val="en-PH"/>
        </w:rPr>
        <w:t xml:space="preserve"> T</w:t>
      </w:r>
      <w:r w:rsidR="00C573A2">
        <w:rPr>
          <w:lang w:val="en-PH"/>
        </w:rPr>
        <w:t>hailand above and Taiwan in class</w:t>
      </w:r>
      <w:r w:rsidR="008A2775">
        <w:rPr>
          <w:lang w:val="en-PH"/>
        </w:rPr>
        <w:t>)</w:t>
      </w:r>
      <w:r>
        <w:rPr>
          <w:lang w:val="en-PH"/>
        </w:rPr>
        <w:t xml:space="preserve">. Ceteris paribus, this will tend to choke off growth </w:t>
      </w:r>
      <w:r w:rsidR="001009DA">
        <w:rPr>
          <w:lang w:val="en-PH"/>
        </w:rPr>
        <w:t xml:space="preserve">as household consumption demand fails to support </w:t>
      </w:r>
      <w:r w:rsidR="004B04BE">
        <w:rPr>
          <w:lang w:val="en-PH"/>
        </w:rPr>
        <w:t xml:space="preserve">sustained </w:t>
      </w:r>
      <w:r w:rsidR="001009DA">
        <w:rPr>
          <w:lang w:val="en-PH"/>
        </w:rPr>
        <w:t>output</w:t>
      </w:r>
      <w:r w:rsidR="004B04BE">
        <w:rPr>
          <w:lang w:val="en-PH"/>
        </w:rPr>
        <w:t xml:space="preserve"> increases</w:t>
      </w:r>
      <w:r w:rsidR="001009DA">
        <w:rPr>
          <w:lang w:val="en-PH"/>
        </w:rPr>
        <w:t xml:space="preserve">. </w:t>
      </w:r>
    </w:p>
    <w:p w14:paraId="2D7DF6FD" w14:textId="1344C7CB" w:rsidR="00E62670" w:rsidRPr="00E37210" w:rsidRDefault="001009DA" w:rsidP="00861E95">
      <w:pPr>
        <w:pStyle w:val="ListParagraph"/>
        <w:numPr>
          <w:ilvl w:val="0"/>
          <w:numId w:val="7"/>
        </w:numPr>
        <w:spacing w:before="120" w:after="0" w:line="240" w:lineRule="auto"/>
        <w:contextualSpacing w:val="0"/>
        <w:rPr>
          <w:lang w:val="en-PH"/>
        </w:rPr>
      </w:pPr>
      <w:r w:rsidRPr="00E37210">
        <w:rPr>
          <w:lang w:val="en-PH"/>
        </w:rPr>
        <w:t>What other sources of aggregate demand can help to sustain growth?</w:t>
      </w:r>
    </w:p>
    <w:p w14:paraId="562C44CB" w14:textId="20E0197F" w:rsidR="00476C3F" w:rsidRPr="00CF4CFF" w:rsidRDefault="00E37210" w:rsidP="00CF4CFF">
      <w:pPr>
        <w:pStyle w:val="ListParagraph"/>
        <w:spacing w:before="120" w:after="0" w:line="240" w:lineRule="auto"/>
        <w:rPr>
          <w:lang w:val="en-PH"/>
        </w:rPr>
      </w:pPr>
      <w:r>
        <w:rPr>
          <w:lang w:val="en-PH"/>
        </w:rPr>
        <w:t>(Hint: Aggregate demand is given by</w:t>
      </w:r>
      <w:r w:rsidR="00830EFB">
        <w:rPr>
          <w:lang w:val="en-PH"/>
        </w:rPr>
        <w:t xml:space="preserve"> the expenditures </w:t>
      </w:r>
      <w:r w:rsidR="00861E95">
        <w:rPr>
          <w:lang w:val="en-PH"/>
        </w:rPr>
        <w:t>equation for GDP.</w:t>
      </w:r>
      <w:r w:rsidR="00BB5553" w:rsidRPr="00BB5553">
        <w:rPr>
          <w:rFonts w:ascii="Calibri" w:hAnsi="Calibri" w:cs="Calibri"/>
          <w:lang w:val="en-PH"/>
        </w:rPr>
        <w:t>)</w:t>
      </w:r>
    </w:p>
    <w:p w14:paraId="2D7DF6FE" w14:textId="2958FE9B" w:rsidR="001009DA" w:rsidRPr="00476C3F" w:rsidRDefault="001009DA" w:rsidP="00CF4CFF">
      <w:pPr>
        <w:pStyle w:val="ListParagraph"/>
        <w:numPr>
          <w:ilvl w:val="0"/>
          <w:numId w:val="7"/>
        </w:numPr>
        <w:spacing w:before="120" w:after="0" w:line="240" w:lineRule="auto"/>
        <w:contextualSpacing w:val="0"/>
        <w:rPr>
          <w:lang w:val="en-PH"/>
        </w:rPr>
      </w:pPr>
      <w:r w:rsidRPr="00476C3F">
        <w:rPr>
          <w:lang w:val="en-PH"/>
        </w:rPr>
        <w:t>How can government policy foster these other sources of aggregate demand?</w:t>
      </w:r>
    </w:p>
    <w:p w14:paraId="7D773200" w14:textId="77777777" w:rsidR="00CA66A4" w:rsidRDefault="00CA66A4" w:rsidP="005B26E3">
      <w:pPr>
        <w:spacing w:after="0" w:line="240" w:lineRule="auto"/>
        <w:rPr>
          <w:b/>
          <w:lang w:val="en-PH"/>
        </w:rPr>
      </w:pPr>
    </w:p>
    <w:p w14:paraId="125BA1B2" w14:textId="77777777" w:rsidR="00D33DFF" w:rsidRDefault="00D33DFF" w:rsidP="005B26E3">
      <w:pPr>
        <w:spacing w:after="0" w:line="240" w:lineRule="auto"/>
        <w:rPr>
          <w:b/>
          <w:lang w:val="en-PH"/>
        </w:rPr>
      </w:pPr>
    </w:p>
    <w:p w14:paraId="4658AA61" w14:textId="135A82E1" w:rsidR="000C6D37" w:rsidRPr="00F2111C" w:rsidRDefault="000C6D37" w:rsidP="005B26E3">
      <w:pPr>
        <w:spacing w:after="0" w:line="240" w:lineRule="auto"/>
        <w:rPr>
          <w:b/>
          <w:lang w:val="en-PH"/>
        </w:rPr>
      </w:pPr>
      <w:r>
        <w:rPr>
          <w:b/>
          <w:lang w:val="en-PH"/>
        </w:rPr>
        <w:t>3</w:t>
      </w:r>
      <w:r w:rsidR="005B26E3" w:rsidRPr="00F2111C">
        <w:rPr>
          <w:b/>
          <w:lang w:val="en-PH"/>
        </w:rPr>
        <w:t>. BALANCE OF PAYMENTS ACCOUNTING</w:t>
      </w:r>
    </w:p>
    <w:p w14:paraId="0D45D807" w14:textId="4868EA29" w:rsidR="005B26E3" w:rsidRDefault="005B26E3" w:rsidP="00FF76BF">
      <w:pPr>
        <w:spacing w:before="120" w:after="0" w:line="240" w:lineRule="auto"/>
        <w:ind w:left="720" w:hanging="274"/>
        <w:rPr>
          <w:lang w:val="en-PH"/>
        </w:rPr>
      </w:pPr>
      <w:r>
        <w:rPr>
          <w:lang w:val="en-PH"/>
        </w:rPr>
        <w:t>a)</w:t>
      </w:r>
      <w:r w:rsidR="00CF44F3">
        <w:rPr>
          <w:lang w:val="en-PH"/>
        </w:rPr>
        <w:tab/>
      </w:r>
      <w:r>
        <w:rPr>
          <w:lang w:val="en-PH"/>
        </w:rPr>
        <w:t>Suppose an exporter understates foreign exchange receipts in his reporting to authorities. Why might he do this? What do you suppose happened to the receipts? What two entries would be needed to correctly capture this activity on the balance of payments?</w:t>
      </w:r>
    </w:p>
    <w:p w14:paraId="1E36E55A" w14:textId="7DC08A93" w:rsidR="005B26E3" w:rsidRDefault="005B26E3" w:rsidP="00FF76BF">
      <w:pPr>
        <w:spacing w:before="120" w:after="0" w:line="240" w:lineRule="auto"/>
        <w:ind w:left="720" w:hanging="274"/>
      </w:pPr>
      <w:r>
        <w:rPr>
          <w:lang w:val="en-PH"/>
        </w:rPr>
        <w:t>b)</w:t>
      </w:r>
      <w:r w:rsidR="00CF44F3">
        <w:rPr>
          <w:lang w:val="en-PH"/>
        </w:rPr>
        <w:tab/>
      </w:r>
      <w:r>
        <w:t>Suppose the Indonesian central bank must defend the value of the rupiah against a sell-off. How does it intervene</w:t>
      </w:r>
      <w:r w:rsidR="00105C53">
        <w:t xml:space="preserve"> </w:t>
      </w:r>
      <w:r>
        <w:t>in the foreign exchange market? How is this reflected in the balance of payments?</w:t>
      </w:r>
    </w:p>
    <w:p w14:paraId="3B09764D" w14:textId="3DA3EDE2" w:rsidR="005B26E3" w:rsidRDefault="006C33C2" w:rsidP="00FF76BF">
      <w:pPr>
        <w:spacing w:before="120" w:after="0" w:line="240" w:lineRule="auto"/>
        <w:ind w:left="720" w:hanging="274"/>
      </w:pPr>
      <w:r>
        <w:t>c</w:t>
      </w:r>
      <w:r w:rsidR="005B26E3">
        <w:t>)</w:t>
      </w:r>
      <w:r w:rsidR="00CF44F3">
        <w:tab/>
      </w:r>
      <w:r w:rsidR="005B26E3">
        <w:t>For the Chinese renminbi to become an international reserve currency, as the Chinese government desires, what are the implications for China’s balance of payments?</w:t>
      </w:r>
    </w:p>
    <w:p w14:paraId="750C422F" w14:textId="77777777" w:rsidR="005B26E3" w:rsidRDefault="005B26E3" w:rsidP="005B26E3">
      <w:pPr>
        <w:spacing w:before="120" w:after="0" w:line="240" w:lineRule="auto"/>
      </w:pPr>
    </w:p>
    <w:p w14:paraId="2D7DF6FF" w14:textId="60BD2AAD" w:rsidR="003D2460" w:rsidRDefault="003D2460">
      <w:pPr>
        <w:rPr>
          <w:lang w:val="en-PH"/>
        </w:rPr>
      </w:pPr>
    </w:p>
    <w:sectPr w:rsidR="003D2460" w:rsidSect="00B303B9">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E6809" w14:textId="77777777" w:rsidR="00B303B9" w:rsidRDefault="00B303B9" w:rsidP="006E1797">
      <w:pPr>
        <w:spacing w:after="0" w:line="240" w:lineRule="auto"/>
      </w:pPr>
      <w:r>
        <w:separator/>
      </w:r>
    </w:p>
  </w:endnote>
  <w:endnote w:type="continuationSeparator" w:id="0">
    <w:p w14:paraId="69F2403C" w14:textId="77777777" w:rsidR="00B303B9" w:rsidRDefault="00B303B9" w:rsidP="006E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245165"/>
      <w:docPartObj>
        <w:docPartGallery w:val="Page Numbers (Bottom of Page)"/>
        <w:docPartUnique/>
      </w:docPartObj>
    </w:sdtPr>
    <w:sdtEndPr>
      <w:rPr>
        <w:noProof/>
      </w:rPr>
    </w:sdtEndPr>
    <w:sdtContent>
      <w:p w14:paraId="2D7DF722" w14:textId="77777777" w:rsidR="004B6725" w:rsidRDefault="004B6725">
        <w:pPr>
          <w:pStyle w:val="Footer"/>
          <w:jc w:val="center"/>
        </w:pPr>
        <w:r>
          <w:fldChar w:fldCharType="begin"/>
        </w:r>
        <w:r>
          <w:instrText xml:space="preserve"> PAGE   \* MERGEFORMAT </w:instrText>
        </w:r>
        <w:r>
          <w:fldChar w:fldCharType="separate"/>
        </w:r>
        <w:r w:rsidR="00FF1BD3">
          <w:rPr>
            <w:noProof/>
          </w:rPr>
          <w:t>1</w:t>
        </w:r>
        <w:r>
          <w:rPr>
            <w:noProof/>
          </w:rPr>
          <w:fldChar w:fldCharType="end"/>
        </w:r>
      </w:p>
    </w:sdtContent>
  </w:sdt>
  <w:p w14:paraId="2D7DF723" w14:textId="77777777" w:rsidR="0069406A" w:rsidRDefault="00694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0B33" w14:textId="77777777" w:rsidR="00B303B9" w:rsidRDefault="00B303B9" w:rsidP="006E1797">
      <w:pPr>
        <w:spacing w:after="0" w:line="240" w:lineRule="auto"/>
      </w:pPr>
      <w:r>
        <w:separator/>
      </w:r>
    </w:p>
  </w:footnote>
  <w:footnote w:type="continuationSeparator" w:id="0">
    <w:p w14:paraId="4D5413DA" w14:textId="77777777" w:rsidR="00B303B9" w:rsidRDefault="00B303B9" w:rsidP="006E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71E" w14:textId="46860718" w:rsidR="004B6725" w:rsidRPr="004B6725" w:rsidRDefault="00BA6025" w:rsidP="004B6725">
    <w:pPr>
      <w:tabs>
        <w:tab w:val="center" w:pos="4320"/>
        <w:tab w:val="right" w:pos="9000"/>
      </w:tabs>
      <w:spacing w:after="0" w:line="240" w:lineRule="auto"/>
      <w:rPr>
        <w:rFonts w:eastAsia="Times New Roman" w:cs="Times New Roman"/>
      </w:rPr>
    </w:pPr>
    <w:r>
      <w:rPr>
        <w:rFonts w:eastAsia="Times New Roman" w:cs="Times New Roman"/>
      </w:rPr>
      <w:t>Ateneo University</w:t>
    </w:r>
    <w:r w:rsidR="004B6725" w:rsidRPr="004B6725">
      <w:rPr>
        <w:rFonts w:eastAsia="Times New Roman" w:cs="Times New Roman"/>
      </w:rPr>
      <w:tab/>
    </w:r>
    <w:r w:rsidR="004B6725" w:rsidRPr="004B6725">
      <w:rPr>
        <w:rFonts w:eastAsia="Times New Roman" w:cs="Times New Roman"/>
      </w:rPr>
      <w:tab/>
    </w:r>
    <w:r>
      <w:rPr>
        <w:rFonts w:eastAsia="Times New Roman" w:cs="Times New Roman"/>
      </w:rPr>
      <w:t>Spring</w:t>
    </w:r>
    <w:r w:rsidR="004B6725" w:rsidRPr="004B6725">
      <w:rPr>
        <w:rFonts w:eastAsia="Times New Roman" w:cs="Times New Roman"/>
      </w:rPr>
      <w:t xml:space="preserve"> 20</w:t>
    </w:r>
    <w:r>
      <w:rPr>
        <w:rFonts w:eastAsia="Times New Roman" w:cs="Times New Roman"/>
      </w:rPr>
      <w:t>24</w:t>
    </w:r>
  </w:p>
  <w:p w14:paraId="2D7DF720" w14:textId="6D57BA53" w:rsidR="004B6725" w:rsidRPr="004B6725" w:rsidRDefault="004B6725" w:rsidP="00840039">
    <w:pPr>
      <w:tabs>
        <w:tab w:val="center" w:pos="4320"/>
        <w:tab w:val="right" w:pos="9000"/>
      </w:tabs>
      <w:spacing w:after="0" w:line="240" w:lineRule="auto"/>
      <w:rPr>
        <w:rFonts w:eastAsia="Times New Roman" w:cs="Times New Roman"/>
      </w:rPr>
    </w:pPr>
    <w:r w:rsidRPr="004B6725">
      <w:rPr>
        <w:rFonts w:eastAsia="Times New Roman" w:cs="Times New Roman"/>
      </w:rPr>
      <w:tab/>
    </w:r>
    <w:r w:rsidR="00AA683A">
      <w:rPr>
        <w:rFonts w:eastAsia="Times New Roman" w:cs="Times New Roman"/>
      </w:rPr>
      <w:t xml:space="preserve">Intermediate </w:t>
    </w:r>
    <w:r w:rsidRPr="004B6725">
      <w:rPr>
        <w:rFonts w:eastAsia="Times New Roman" w:cs="Times New Roman"/>
      </w:rPr>
      <w:t>Macroeconomic</w:t>
    </w:r>
    <w:r w:rsidR="00AA683A">
      <w:rPr>
        <w:rFonts w:eastAsia="Times New Roman" w:cs="Times New Roman"/>
      </w:rPr>
      <w:t xml:space="preserve"> Theory</w:t>
    </w:r>
  </w:p>
  <w:p w14:paraId="2D7DF721" w14:textId="77777777" w:rsidR="006E1797" w:rsidRPr="004B6725" w:rsidRDefault="006E1797" w:rsidP="004B6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5A4"/>
    <w:multiLevelType w:val="hybridMultilevel"/>
    <w:tmpl w:val="F42E16A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D03685A"/>
    <w:multiLevelType w:val="hybridMultilevel"/>
    <w:tmpl w:val="6B90D1D4"/>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9526C47"/>
    <w:multiLevelType w:val="hybridMultilevel"/>
    <w:tmpl w:val="CC440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83378F"/>
    <w:multiLevelType w:val="hybridMultilevel"/>
    <w:tmpl w:val="69A6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ED1791"/>
    <w:multiLevelType w:val="hybridMultilevel"/>
    <w:tmpl w:val="ABBCB536"/>
    <w:lvl w:ilvl="0" w:tplc="3409000F">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74D4523"/>
    <w:multiLevelType w:val="hybridMultilevel"/>
    <w:tmpl w:val="F42E16A6"/>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4872D02"/>
    <w:multiLevelType w:val="hybridMultilevel"/>
    <w:tmpl w:val="45FC5A7E"/>
    <w:lvl w:ilvl="0" w:tplc="34090011">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90192471">
    <w:abstractNumId w:val="3"/>
  </w:num>
  <w:num w:numId="2" w16cid:durableId="198276194">
    <w:abstractNumId w:val="5"/>
  </w:num>
  <w:num w:numId="3" w16cid:durableId="1852603687">
    <w:abstractNumId w:val="0"/>
  </w:num>
  <w:num w:numId="4" w16cid:durableId="1275212462">
    <w:abstractNumId w:val="6"/>
  </w:num>
  <w:num w:numId="5" w16cid:durableId="1136489732">
    <w:abstractNumId w:val="4"/>
  </w:num>
  <w:num w:numId="6" w16cid:durableId="730271383">
    <w:abstractNumId w:val="2"/>
  </w:num>
  <w:num w:numId="7" w16cid:durableId="1044867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580"/>
    <w:rsid w:val="00014583"/>
    <w:rsid w:val="00061889"/>
    <w:rsid w:val="000B44DB"/>
    <w:rsid w:val="000C6D37"/>
    <w:rsid w:val="000E5114"/>
    <w:rsid w:val="001009DA"/>
    <w:rsid w:val="00105C53"/>
    <w:rsid w:val="00122E95"/>
    <w:rsid w:val="00163FE1"/>
    <w:rsid w:val="001A0BAE"/>
    <w:rsid w:val="001C5154"/>
    <w:rsid w:val="001E489F"/>
    <w:rsid w:val="00201FE7"/>
    <w:rsid w:val="002133AB"/>
    <w:rsid w:val="00282195"/>
    <w:rsid w:val="002D18AF"/>
    <w:rsid w:val="00321AD9"/>
    <w:rsid w:val="00325DA2"/>
    <w:rsid w:val="00333D32"/>
    <w:rsid w:val="0037083D"/>
    <w:rsid w:val="00392D3F"/>
    <w:rsid w:val="003A4238"/>
    <w:rsid w:val="003C7913"/>
    <w:rsid w:val="003D2460"/>
    <w:rsid w:val="003E0DB0"/>
    <w:rsid w:val="003E3C65"/>
    <w:rsid w:val="003F45B0"/>
    <w:rsid w:val="00430580"/>
    <w:rsid w:val="00456EFD"/>
    <w:rsid w:val="00476C3F"/>
    <w:rsid w:val="004837A1"/>
    <w:rsid w:val="004A2845"/>
    <w:rsid w:val="004A3CC7"/>
    <w:rsid w:val="004B04BE"/>
    <w:rsid w:val="004B237D"/>
    <w:rsid w:val="004B6725"/>
    <w:rsid w:val="0052529B"/>
    <w:rsid w:val="005613DE"/>
    <w:rsid w:val="0056191E"/>
    <w:rsid w:val="00562F27"/>
    <w:rsid w:val="00566610"/>
    <w:rsid w:val="00577F1D"/>
    <w:rsid w:val="005B26E3"/>
    <w:rsid w:val="005C3A05"/>
    <w:rsid w:val="005D1B4C"/>
    <w:rsid w:val="005D28DF"/>
    <w:rsid w:val="006173F9"/>
    <w:rsid w:val="006465E5"/>
    <w:rsid w:val="0067139D"/>
    <w:rsid w:val="006866C6"/>
    <w:rsid w:val="0068729E"/>
    <w:rsid w:val="00692480"/>
    <w:rsid w:val="0069406A"/>
    <w:rsid w:val="006A3FC6"/>
    <w:rsid w:val="006B16EB"/>
    <w:rsid w:val="006B4433"/>
    <w:rsid w:val="006C33C2"/>
    <w:rsid w:val="006E1797"/>
    <w:rsid w:val="006F7E96"/>
    <w:rsid w:val="0070576D"/>
    <w:rsid w:val="007278FB"/>
    <w:rsid w:val="007D3DD7"/>
    <w:rsid w:val="007E2E59"/>
    <w:rsid w:val="0082002B"/>
    <w:rsid w:val="00830EFB"/>
    <w:rsid w:val="00833374"/>
    <w:rsid w:val="00840039"/>
    <w:rsid w:val="00861E95"/>
    <w:rsid w:val="008767CF"/>
    <w:rsid w:val="00891B45"/>
    <w:rsid w:val="00894CE7"/>
    <w:rsid w:val="008A2775"/>
    <w:rsid w:val="008A747E"/>
    <w:rsid w:val="008D5057"/>
    <w:rsid w:val="009326CD"/>
    <w:rsid w:val="00951F7F"/>
    <w:rsid w:val="009743BA"/>
    <w:rsid w:val="009869DA"/>
    <w:rsid w:val="00995DE3"/>
    <w:rsid w:val="00996FE2"/>
    <w:rsid w:val="009A2CF3"/>
    <w:rsid w:val="009D296A"/>
    <w:rsid w:val="009E5193"/>
    <w:rsid w:val="00A0102A"/>
    <w:rsid w:val="00A01CB6"/>
    <w:rsid w:val="00A17C23"/>
    <w:rsid w:val="00A24CDB"/>
    <w:rsid w:val="00A416DA"/>
    <w:rsid w:val="00A91ACF"/>
    <w:rsid w:val="00A92AE5"/>
    <w:rsid w:val="00AA683A"/>
    <w:rsid w:val="00AD3194"/>
    <w:rsid w:val="00AD7B38"/>
    <w:rsid w:val="00B01817"/>
    <w:rsid w:val="00B303B9"/>
    <w:rsid w:val="00B40A8A"/>
    <w:rsid w:val="00B52F20"/>
    <w:rsid w:val="00B679E2"/>
    <w:rsid w:val="00B71793"/>
    <w:rsid w:val="00B933EB"/>
    <w:rsid w:val="00BA6025"/>
    <w:rsid w:val="00BB5553"/>
    <w:rsid w:val="00BC0C3A"/>
    <w:rsid w:val="00BE1B8E"/>
    <w:rsid w:val="00BF2AC1"/>
    <w:rsid w:val="00C133FA"/>
    <w:rsid w:val="00C573A2"/>
    <w:rsid w:val="00C82EC5"/>
    <w:rsid w:val="00CA2ECF"/>
    <w:rsid w:val="00CA4CDD"/>
    <w:rsid w:val="00CA66A4"/>
    <w:rsid w:val="00CD7650"/>
    <w:rsid w:val="00CE506C"/>
    <w:rsid w:val="00CF44F3"/>
    <w:rsid w:val="00CF4CFF"/>
    <w:rsid w:val="00D33DFF"/>
    <w:rsid w:val="00D56103"/>
    <w:rsid w:val="00D6454C"/>
    <w:rsid w:val="00D74573"/>
    <w:rsid w:val="00D76F80"/>
    <w:rsid w:val="00D865DD"/>
    <w:rsid w:val="00D93A17"/>
    <w:rsid w:val="00DC07E7"/>
    <w:rsid w:val="00DC1B65"/>
    <w:rsid w:val="00E17079"/>
    <w:rsid w:val="00E203D1"/>
    <w:rsid w:val="00E3580F"/>
    <w:rsid w:val="00E37210"/>
    <w:rsid w:val="00E51608"/>
    <w:rsid w:val="00E57EB1"/>
    <w:rsid w:val="00E62670"/>
    <w:rsid w:val="00E67C11"/>
    <w:rsid w:val="00E75A6B"/>
    <w:rsid w:val="00EC7891"/>
    <w:rsid w:val="00EF4FFF"/>
    <w:rsid w:val="00F05D3F"/>
    <w:rsid w:val="00F2111C"/>
    <w:rsid w:val="00F52C1F"/>
    <w:rsid w:val="00F9167E"/>
    <w:rsid w:val="00FC120B"/>
    <w:rsid w:val="00FF1BD3"/>
    <w:rsid w:val="00FF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F6E9"/>
  <w15:docId w15:val="{18836C31-5F85-4376-8036-253B80DB3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CDB"/>
    <w:pPr>
      <w:ind w:left="720"/>
      <w:contextualSpacing/>
    </w:pPr>
  </w:style>
  <w:style w:type="character" w:styleId="Hyperlink">
    <w:name w:val="Hyperlink"/>
    <w:basedOn w:val="DefaultParagraphFont"/>
    <w:uiPriority w:val="99"/>
    <w:unhideWhenUsed/>
    <w:rsid w:val="009869DA"/>
    <w:rPr>
      <w:color w:val="0000FF" w:themeColor="hyperlink"/>
      <w:u w:val="single"/>
    </w:rPr>
  </w:style>
  <w:style w:type="paragraph" w:styleId="Header">
    <w:name w:val="header"/>
    <w:basedOn w:val="Normal"/>
    <w:link w:val="HeaderChar"/>
    <w:uiPriority w:val="99"/>
    <w:unhideWhenUsed/>
    <w:rsid w:val="006E1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797"/>
  </w:style>
  <w:style w:type="paragraph" w:styleId="Footer">
    <w:name w:val="footer"/>
    <w:basedOn w:val="Normal"/>
    <w:link w:val="FooterChar"/>
    <w:uiPriority w:val="99"/>
    <w:unhideWhenUsed/>
    <w:rsid w:val="006E1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797"/>
  </w:style>
  <w:style w:type="character" w:styleId="FollowedHyperlink">
    <w:name w:val="FollowedHyperlink"/>
    <w:basedOn w:val="DefaultParagraphFont"/>
    <w:uiPriority w:val="99"/>
    <w:semiHidden/>
    <w:unhideWhenUsed/>
    <w:rsid w:val="00DC1B65"/>
    <w:rPr>
      <w:color w:val="800080" w:themeColor="followedHyperlink"/>
      <w:u w:val="single"/>
    </w:rPr>
  </w:style>
  <w:style w:type="paragraph" w:styleId="BalloonText">
    <w:name w:val="Balloon Text"/>
    <w:basedOn w:val="Normal"/>
    <w:link w:val="BalloonTextChar"/>
    <w:uiPriority w:val="99"/>
    <w:semiHidden/>
    <w:unhideWhenUsed/>
    <w:rsid w:val="006872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clab201411</dc:creator>
  <cp:lastModifiedBy>Calla Wiemer</cp:lastModifiedBy>
  <cp:revision>38</cp:revision>
  <cp:lastPrinted>2019-06-15T01:24:00Z</cp:lastPrinted>
  <dcterms:created xsi:type="dcterms:W3CDTF">2024-02-05T08:00:00Z</dcterms:created>
  <dcterms:modified xsi:type="dcterms:W3CDTF">2024-02-07T10:27:00Z</dcterms:modified>
</cp:coreProperties>
</file>